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pPr>
      <w:r w:rsidDel="00000000" w:rsidR="00000000" w:rsidRPr="00000000">
        <w:rPr>
          <w:b w:val="1"/>
          <w:bCs w:val="1"/>
          <w:sz w:val="36"/>
          <w:szCs w:val="36"/>
          <w:rtl w:val="0"/>
        </w:rPr>
        <w:t xml:space="preserve">Warren County Tourism</w:t>
      </w: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b w:val="1"/>
          <w:bCs w:val="1"/>
          <w:sz w:val="36"/>
          <w:szCs w:val="36"/>
          <w:rtl w:val="0"/>
        </w:rPr>
        <w:t xml:space="preserve">Comparative Agreement Analysis</w:t>
      </w:r>
      <w:r w:rsidDel="00000000" w:rsidR="00000000" w:rsidRPr="00000000">
        <w:rPr>
          <w:rtl w:val="0"/>
        </w:rPr>
      </w:r>
    </w:p>
    <w:p w:rsidR="00000000" w:rsidDel="00000000" w:rsidP="00000000" w:rsidRDefault="00000000" w:rsidRPr="00000000" w14:paraId="00000003">
      <w:pPr>
        <w:spacing w:after="60" w:lineRule="auto"/>
        <w:jc w:val="center"/>
        <w:rPr/>
      </w:pPr>
      <w:r w:rsidDel="00000000" w:rsidR="00000000" w:rsidRPr="00000000">
        <w:rPr>
          <w:color w:val="444444"/>
          <w:sz w:val="24"/>
          <w:szCs w:val="24"/>
          <w:rtl w:val="0"/>
        </w:rPr>
        <w:t xml:space="preserve">A Review of the 2022 Joint Tourism Agreement, the Town's 2026 Proposed MOU,</w:t>
      </w:r>
      <w:r w:rsidDel="00000000" w:rsidR="00000000" w:rsidRPr="00000000">
        <w:rPr>
          <w:rtl w:val="0"/>
        </w:rPr>
      </w:r>
    </w:p>
    <w:p w:rsidR="00000000" w:rsidDel="00000000" w:rsidP="00000000" w:rsidRDefault="00000000" w:rsidRPr="00000000" w14:paraId="00000004">
      <w:pPr>
        <w:spacing w:after="300" w:lineRule="auto"/>
        <w:jc w:val="center"/>
        <w:rPr/>
      </w:pPr>
      <w:r w:rsidDel="00000000" w:rsidR="00000000" w:rsidRPr="00000000">
        <w:rPr>
          <w:color w:val="444444"/>
          <w:sz w:val="24"/>
          <w:szCs w:val="24"/>
          <w:rtl w:val="0"/>
        </w:rPr>
        <w:t xml:space="preserve">and Warren County's 2026 Proposed Memorandum of Agreement</w:t>
      </w: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Purpose of This Document</w:t>
      </w:r>
    </w:p>
    <w:p w:rsidR="00000000" w:rsidDel="00000000" w:rsidP="00000000" w:rsidRDefault="00000000" w:rsidRPr="00000000" w14:paraId="00000006">
      <w:pPr>
        <w:spacing w:after="180" w:line="276" w:lineRule="auto"/>
        <w:rPr/>
      </w:pPr>
      <w:r w:rsidDel="00000000" w:rsidR="00000000" w:rsidRPr="00000000">
        <w:rPr>
          <w:i w:val="0"/>
          <w:iCs w:val="0"/>
          <w:rtl w:val="0"/>
        </w:rPr>
        <w:t xml:space="preserve">This document provides a structured comparison of the three agreements that define the arc of tourism governance between Warren County and the Town of Front Royal: the 2022 Joint Tourism Agreement that created Discover Front Royal, the Town's 2026 proposed Memorandum of Understanding, and Warren County's 2026 proposed Memorandum of Agreement.</w:t>
      </w:r>
      <w:r w:rsidDel="00000000" w:rsidR="00000000" w:rsidRPr="00000000">
        <w:rPr>
          <w:rtl w:val="0"/>
        </w:rPr>
      </w:r>
    </w:p>
    <w:p w:rsidR="00000000" w:rsidDel="00000000" w:rsidP="00000000" w:rsidRDefault="00000000" w:rsidRPr="00000000" w14:paraId="00000007">
      <w:pPr>
        <w:spacing w:after="180" w:line="276" w:lineRule="auto"/>
        <w:rPr/>
      </w:pPr>
      <w:r w:rsidDel="00000000" w:rsidR="00000000" w:rsidRPr="00000000">
        <w:rPr>
          <w:i w:val="0"/>
          <w:iCs w:val="0"/>
          <w:rtl w:val="0"/>
        </w:rPr>
        <w:t xml:space="preserve">The purpose is not to relitigate prior decisions. It is to document, in one place, the structural provisions each agreement contained — or failed to contain — so that the choices embedded in the County's proposed agreement can be evaluated against the record rather than in isolation.</w:t>
      </w:r>
      <w:r w:rsidDel="00000000" w:rsidR="00000000" w:rsidRPr="00000000">
        <w:rPr>
          <w:rtl w:val="0"/>
        </w:rPr>
      </w:r>
    </w:p>
    <w:p w:rsidR="00000000" w:rsidDel="00000000" w:rsidP="00000000" w:rsidRDefault="00000000" w:rsidRPr="00000000" w14:paraId="00000008">
      <w:pPr>
        <w:spacing w:after="180" w:line="276" w:lineRule="auto"/>
        <w:rPr/>
      </w:pPr>
      <w:r w:rsidDel="00000000" w:rsidR="00000000" w:rsidRPr="00000000">
        <w:rPr>
          <w:i w:val="0"/>
          <w:iCs w:val="0"/>
          <w:rtl w:val="0"/>
        </w:rPr>
        <w:t xml:space="preserve">Every provision in Warren County's proposed MOA exists because a prior agreement lacked it. This document shows which provisions, which agreements, and what the consequences were.</w:t>
      </w: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Document 1: The 2022 Joint Tourism Agreement</w:t>
      </w:r>
    </w:p>
    <w:p w:rsidR="00000000" w:rsidDel="00000000" w:rsidP="00000000" w:rsidRDefault="00000000" w:rsidRPr="00000000" w14:paraId="0000000A">
      <w:pPr>
        <w:spacing w:after="180" w:line="276" w:lineRule="auto"/>
        <w:rPr/>
      </w:pPr>
      <w:r w:rsidDel="00000000" w:rsidR="00000000" w:rsidRPr="00000000">
        <w:rPr>
          <w:i w:val="1"/>
          <w:iCs w:val="1"/>
          <w:rtl w:val="0"/>
        </w:rPr>
        <w:t xml:space="preserve">Signed April 6, 2022. Terminated by Front Royal Town Council vote, February 27, 2023 (4–2). Governing law: Va. Code § 58.1-3819.</w:t>
      </w: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i w:val="0"/>
          <w:iCs w:val="0"/>
          <w:rtl w:val="0"/>
        </w:rPr>
        <w:t xml:space="preserve">Structure</w:t>
      </w:r>
      <w:r w:rsidDel="00000000" w:rsidR="00000000" w:rsidRPr="00000000">
        <w:rPr>
          <w:rtl w:val="0"/>
        </w:rPr>
      </w:r>
    </w:p>
    <w:p w:rsidR="00000000" w:rsidDel="00000000" w:rsidP="00000000" w:rsidRDefault="00000000" w:rsidRPr="00000000" w14:paraId="0000000C">
      <w:pPr>
        <w:spacing w:after="180" w:line="276" w:lineRule="auto"/>
        <w:rPr/>
      </w:pPr>
      <w:r w:rsidDel="00000000" w:rsidR="00000000" w:rsidRPr="00000000">
        <w:rPr>
          <w:i w:val="0"/>
          <w:iCs w:val="0"/>
          <w:rtl w:val="0"/>
        </w:rPr>
        <w:t xml:space="preserve">The 2022 Agreement created Discover Front Royal as a 501(c)6 Destination Marketing Organization to serve as the "sole tourism authority" for both parties. A tourism marketing firm (JLL) was contracted to stand up the DMO. The Town solicited and publicly contracted with the firm under the Virginia Public Procurement Act; the County was assigned fiscal responsibility.</w:t>
      </w:r>
      <w:r w:rsidDel="00000000" w:rsidR="00000000" w:rsidRPr="00000000">
        <w:rPr>
          <w:rtl w:val="0"/>
        </w:rPr>
      </w:r>
    </w:p>
    <w:p w:rsidR="00000000" w:rsidDel="00000000" w:rsidP="00000000" w:rsidRDefault="00000000" w:rsidRPr="00000000" w14:paraId="0000000D">
      <w:pPr>
        <w:pStyle w:val="Heading2"/>
        <w:rPr/>
      </w:pPr>
      <w:r w:rsidDel="00000000" w:rsidR="00000000" w:rsidRPr="00000000">
        <w:rPr>
          <w:i w:val="0"/>
          <w:iCs w:val="0"/>
          <w:rtl w:val="0"/>
        </w:rPr>
        <w:t xml:space="preserve">Funding</w:t>
      </w:r>
      <w:r w:rsidDel="00000000" w:rsidR="00000000" w:rsidRPr="00000000">
        <w:rPr>
          <w:rtl w:val="0"/>
        </w:rPr>
      </w:r>
    </w:p>
    <w:p w:rsidR="00000000" w:rsidDel="00000000" w:rsidP="00000000" w:rsidRDefault="00000000" w:rsidRPr="00000000" w14:paraId="0000000E">
      <w:pPr>
        <w:spacing w:after="180" w:line="276" w:lineRule="auto"/>
        <w:rPr/>
      </w:pPr>
      <w:r w:rsidDel="00000000" w:rsidR="00000000" w:rsidRPr="00000000">
        <w:rPr>
          <w:i w:val="0"/>
          <w:iCs w:val="0"/>
          <w:rtl w:val="0"/>
        </w:rPr>
        <w:t xml:space="preserve">Equal 50/50 split between the parties. Minimum funding set at 50%, not to exceed 70% of the 5-year rolling average of TOT revenue collected by the Town. For FY2022-2023: each party contributed $200,000, totaling $400,000. The County served as fiscal agent and collected the Town's contribution for disbursement.</w:t>
      </w: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i w:val="0"/>
          <w:iCs w:val="0"/>
          <w:rtl w:val="0"/>
        </w:rPr>
        <w:t xml:space="preserve">County's Governance Rights</w:t>
      </w:r>
      <w:r w:rsidDel="00000000" w:rsidR="00000000" w:rsidRPr="00000000">
        <w:rPr>
          <w:rtl w:val="0"/>
        </w:rPr>
      </w:r>
    </w:p>
    <w:p w:rsidR="00000000" w:rsidDel="00000000" w:rsidP="00000000" w:rsidRDefault="00000000" w:rsidRPr="00000000" w14:paraId="00000010">
      <w:pPr>
        <w:spacing w:after="180" w:line="276" w:lineRule="auto"/>
        <w:rPr/>
      </w:pPr>
      <w:r w:rsidDel="00000000" w:rsidR="00000000" w:rsidRPr="00000000">
        <w:rPr>
          <w:i w:val="0"/>
          <w:iCs w:val="0"/>
          <w:rtl w:val="0"/>
        </w:rPr>
        <w:t xml:space="preserve">One Board of Supervisors member and one County staff member were designated to the Discover Front Royal Board — as </w:t>
      </w:r>
      <w:r w:rsidDel="00000000" w:rsidR="00000000" w:rsidRPr="00000000">
        <w:rPr>
          <w:b w:val="1"/>
          <w:bCs w:val="1"/>
          <w:i w:val="0"/>
          <w:iCs w:val="0"/>
          <w:rtl w:val="0"/>
        </w:rPr>
        <w:t xml:space="preserve">non-voting members</w:t>
      </w:r>
      <w:r w:rsidDel="00000000" w:rsidR="00000000" w:rsidRPr="00000000">
        <w:rPr>
          <w:i w:val="0"/>
          <w:iCs w:val="0"/>
          <w:rtl w:val="0"/>
        </w:rPr>
        <w:t xml:space="preserve">. The County had no decision-making authority over how its $200,000 was spent.</w:t>
      </w:r>
      <w:r w:rsidDel="00000000" w:rsidR="00000000" w:rsidRPr="00000000">
        <w:rPr>
          <w:rtl w:val="0"/>
        </w:rPr>
      </w:r>
    </w:p>
    <w:p w:rsidR="00000000" w:rsidDel="00000000" w:rsidP="00000000" w:rsidRDefault="00000000" w:rsidRPr="00000000" w14:paraId="00000011">
      <w:pPr>
        <w:pStyle w:val="Heading2"/>
        <w:rPr/>
      </w:pPr>
      <w:r w:rsidDel="00000000" w:rsidR="00000000" w:rsidRPr="00000000">
        <w:rPr>
          <w:rtl w:val="0"/>
        </w:rPr>
      </w:r>
    </w:p>
    <w:p w:rsidR="00000000" w:rsidDel="00000000" w:rsidP="00000000" w:rsidRDefault="00000000" w:rsidRPr="00000000" w14:paraId="00000012">
      <w:pPr>
        <w:pStyle w:val="Heading2"/>
        <w:rPr/>
      </w:pPr>
      <w:r w:rsidDel="00000000" w:rsidR="00000000" w:rsidRPr="00000000">
        <w:rPr>
          <w:i w:val="0"/>
          <w:iCs w:val="0"/>
          <w:rtl w:val="0"/>
        </w:rPr>
        <w:t xml:space="preserve">Asset and Dissolution Provisions</w:t>
      </w:r>
      <w:r w:rsidDel="00000000" w:rsidR="00000000" w:rsidRPr="00000000">
        <w:rPr>
          <w:rtl w:val="0"/>
        </w:rPr>
      </w:r>
    </w:p>
    <w:p w:rsidR="00000000" w:rsidDel="00000000" w:rsidP="00000000" w:rsidRDefault="00000000" w:rsidRPr="00000000" w14:paraId="00000013">
      <w:pPr>
        <w:spacing w:after="180" w:line="276" w:lineRule="auto"/>
        <w:rPr>
          <w:i w:val="0"/>
          <w:iCs w:val="0"/>
        </w:rPr>
      </w:pPr>
      <w:r w:rsidDel="00000000" w:rsidR="00000000" w:rsidRPr="00000000">
        <w:rPr>
          <w:i w:val="0"/>
          <w:iCs w:val="0"/>
          <w:rtl w:val="0"/>
        </w:rPr>
        <w:t xml:space="preserve">None. The 2022 Agreement contained no asset-reversion clause, no dissolution provision, no performance metrics, no line-item budget requirement, no compliance review process, and no mechanism to recover County investment upon termination. </w:t>
      </w:r>
    </w:p>
    <w:p w:rsidR="00000000" w:rsidDel="00000000" w:rsidP="00000000" w:rsidRDefault="00000000" w:rsidRPr="00000000" w14:paraId="00000014">
      <w:pPr>
        <w:spacing w:after="180" w:line="276" w:lineRule="auto"/>
        <w:rPr/>
      </w:pPr>
      <w:r w:rsidDel="00000000" w:rsidR="00000000" w:rsidRPr="00000000">
        <w:rPr>
          <w:i w:val="0"/>
          <w:iCs w:val="0"/>
          <w:rtl w:val="0"/>
        </w:rPr>
        <w:t xml:space="preserve">When the Town terminated the agreement in February 2023, the County's $200,000 contribution and all jointly built assets — the Discover Front Royal brand, social media platforms, digital content, and IP — transferred in their entirety to Discover Front Royal, which the Town then controlled.</w:t>
      </w: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i w:val="0"/>
          <w:iCs w:val="0"/>
          <w:rtl w:val="0"/>
        </w:rPr>
        <w:t xml:space="preserve">Strengths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Equal financial contribution from both parties — neither carried a disproportionate burden.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Explicit citation of Va. Code § 58.1-3819, establishing the legal framework for TOT expenditure.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Reserved the right of both parties to conduct tourism activities outside the agreement.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Budget submitted annually by January 1, providing a defined planning cycle.</w:t>
      </w:r>
    </w:p>
    <w:p w:rsidR="00000000" w:rsidDel="00000000" w:rsidP="00000000" w:rsidRDefault="00000000" w:rsidRPr="00000000" w14:paraId="0000001A">
      <w:pPr>
        <w:pStyle w:val="Heading2"/>
        <w:rPr/>
      </w:pPr>
      <w:r w:rsidDel="00000000" w:rsidR="00000000" w:rsidRPr="00000000">
        <w:rPr>
          <w:i w:val="0"/>
          <w:iCs w:val="0"/>
          <w:rtl w:val="0"/>
        </w:rPr>
        <w:t xml:space="preserve">Critical Failures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asset-reversion clause. County investment was not protected upon termination.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dissolution provision. No defined process for winding down the partnership.</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County funded 50% of everything and governed nothing — non-voting status provided no accountability mechanism.</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"Sole tourism authority" language for Discover Front Royal constrained both parties' independent operations.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performance metrics, no reporting requirements, no compliance review.</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prohibited uses — County funds could be spent without County approval.</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Automatic annual renewal with March 1 termination deadline — no affirmative renewal required.</w:t>
      </w:r>
    </w:p>
    <w:p w:rsidR="00000000" w:rsidDel="00000000" w:rsidP="00000000" w:rsidRDefault="00000000" w:rsidRPr="00000000" w14:paraId="00000022">
      <w:pPr>
        <w:pStyle w:val="Heading1"/>
        <w:rPr/>
      </w:pPr>
      <w:r w:rsidDel="00000000" w:rsidR="00000000" w:rsidRPr="00000000">
        <w:rPr>
          <w:rtl w:val="0"/>
        </w:rPr>
        <w:t xml:space="preserve">Document 2: Town's 2026 Proposed Memorandum of Understanding</w:t>
      </w:r>
    </w:p>
    <w:p w:rsidR="00000000" w:rsidDel="00000000" w:rsidP="00000000" w:rsidRDefault="00000000" w:rsidRPr="00000000" w14:paraId="00000023">
      <w:pPr>
        <w:spacing w:after="180" w:line="276" w:lineRule="auto"/>
        <w:rPr/>
      </w:pPr>
      <w:r w:rsidDel="00000000" w:rsidR="00000000" w:rsidRPr="00000000">
        <w:rPr>
          <w:i w:val="1"/>
          <w:iCs w:val="1"/>
          <w:rtl w:val="0"/>
        </w:rPr>
        <w:t xml:space="preserve">Undated. Proposed by the Town of Front Royal, 2026. Not executed.</w:t>
      </w:r>
      <w:r w:rsidDel="00000000" w:rsidR="00000000" w:rsidRPr="00000000">
        <w:rPr>
          <w:rtl w:val="0"/>
        </w:rPr>
      </w:r>
    </w:p>
    <w:p w:rsidR="00000000" w:rsidDel="00000000" w:rsidP="00000000" w:rsidRDefault="00000000" w:rsidRPr="00000000" w14:paraId="00000024">
      <w:pPr>
        <w:pStyle w:val="Heading2"/>
        <w:rPr/>
      </w:pPr>
      <w:r w:rsidDel="00000000" w:rsidR="00000000" w:rsidRPr="00000000">
        <w:rPr>
          <w:i w:val="0"/>
          <w:iCs w:val="0"/>
          <w:rtl w:val="0"/>
        </w:rPr>
        <w:t xml:space="preserve">Structure</w:t>
      </w:r>
      <w:r w:rsidDel="00000000" w:rsidR="00000000" w:rsidRPr="00000000">
        <w:rPr>
          <w:rtl w:val="0"/>
        </w:rPr>
      </w:r>
    </w:p>
    <w:p w:rsidR="00000000" w:rsidDel="00000000" w:rsidP="00000000" w:rsidRDefault="00000000" w:rsidRPr="00000000" w14:paraId="00000025">
      <w:pPr>
        <w:spacing w:after="180" w:line="276" w:lineRule="auto"/>
        <w:rPr/>
      </w:pPr>
      <w:r w:rsidDel="00000000" w:rsidR="00000000" w:rsidRPr="00000000">
        <w:rPr>
          <w:i w:val="0"/>
          <w:iCs w:val="0"/>
          <w:rtl w:val="0"/>
        </w:rPr>
        <w:t xml:space="preserve">The Town's 2026 proposal continues Discover Front Royal as the Town-operated destination brand. The Town retains the Visitors Center, VTC DMO designation, all assets, and all social media. The County provides money and supplementary materials. A 15-member advisory committee provides guidance but holds no decision-making authority over County funds.</w:t>
      </w:r>
      <w:r w:rsidDel="00000000" w:rsidR="00000000" w:rsidRPr="00000000">
        <w:rPr>
          <w:rtl w:val="0"/>
        </w:rPr>
      </w:r>
    </w:p>
    <w:p w:rsidR="00000000" w:rsidDel="00000000" w:rsidP="00000000" w:rsidRDefault="00000000" w:rsidRPr="00000000" w14:paraId="00000026">
      <w:pPr>
        <w:pStyle w:val="Heading2"/>
        <w:rPr/>
      </w:pPr>
      <w:r w:rsidDel="00000000" w:rsidR="00000000" w:rsidRPr="00000000">
        <w:rPr>
          <w:i w:val="0"/>
          <w:iCs w:val="0"/>
          <w:rtl w:val="0"/>
        </w:rPr>
        <w:t xml:space="preserve">Funding</w:t>
      </w:r>
      <w:r w:rsidDel="00000000" w:rsidR="00000000" w:rsidRPr="00000000">
        <w:rPr>
          <w:rtl w:val="0"/>
        </w:rPr>
      </w:r>
    </w:p>
    <w:p w:rsidR="00000000" w:rsidDel="00000000" w:rsidP="00000000" w:rsidRDefault="00000000" w:rsidRPr="00000000" w14:paraId="00000027">
      <w:pPr>
        <w:spacing w:after="180" w:line="276" w:lineRule="auto"/>
        <w:rPr/>
      </w:pPr>
      <w:r w:rsidDel="00000000" w:rsidR="00000000" w:rsidRPr="00000000">
        <w:rPr>
          <w:i w:val="0"/>
          <w:iCs w:val="0"/>
          <w:rtl w:val="0"/>
        </w:rPr>
        <w:t xml:space="preserve">The County contributes </w:t>
      </w:r>
      <w:r w:rsidDel="00000000" w:rsidR="00000000" w:rsidRPr="00000000">
        <w:rPr>
          <w:b w:val="1"/>
          <w:bCs w:val="1"/>
          <w:i w:val="0"/>
          <w:iCs w:val="0"/>
          <w:rtl w:val="0"/>
        </w:rPr>
        <w:t xml:space="preserve">sixty percent (60%) of all County Transient Occupancy Tax revenue collected</w:t>
      </w:r>
      <w:r w:rsidDel="00000000" w:rsidR="00000000" w:rsidRPr="00000000">
        <w:rPr>
          <w:i w:val="0"/>
          <w:iCs w:val="0"/>
          <w:rtl w:val="0"/>
        </w:rPr>
        <w:t xml:space="preserve"> — not a capped amount, not a negotiated figure, and not tied to any defined budget or deliverables. Funds are directed to Town Tourism Department funding including but not limited to: staffing, memberships, advertising, promotions, and printing. In practice, County TOT revenue funds the Town's operating budget with no accountability structure attached.</w:t>
      </w:r>
      <w:r w:rsidDel="00000000" w:rsidR="00000000" w:rsidRPr="00000000">
        <w:rPr>
          <w:rtl w:val="0"/>
        </w:rPr>
      </w:r>
    </w:p>
    <w:p w:rsidR="00000000" w:rsidDel="00000000" w:rsidP="00000000" w:rsidRDefault="00000000" w:rsidRPr="00000000" w14:paraId="00000028">
      <w:pPr>
        <w:pStyle w:val="Heading2"/>
        <w:rPr/>
      </w:pPr>
      <w:r w:rsidDel="00000000" w:rsidR="00000000" w:rsidRPr="00000000">
        <w:rPr>
          <w:i w:val="0"/>
          <w:iCs w:val="0"/>
          <w:rtl w:val="0"/>
        </w:rPr>
        <w:t xml:space="preserve">County's Governance Rights</w:t>
      </w:r>
      <w:r w:rsidDel="00000000" w:rsidR="00000000" w:rsidRPr="00000000">
        <w:rPr>
          <w:rtl w:val="0"/>
        </w:rPr>
      </w:r>
    </w:p>
    <w:p w:rsidR="00000000" w:rsidDel="00000000" w:rsidP="00000000" w:rsidRDefault="00000000" w:rsidRPr="00000000" w14:paraId="00000029">
      <w:pPr>
        <w:spacing w:after="180" w:line="276" w:lineRule="auto"/>
        <w:rPr/>
      </w:pPr>
      <w:r w:rsidDel="00000000" w:rsidR="00000000" w:rsidRPr="00000000">
        <w:rPr>
          <w:i w:val="0"/>
          <w:iCs w:val="0"/>
          <w:rtl w:val="0"/>
        </w:rPr>
        <w:t xml:space="preserve">The County receives one Board of Supervisors seat and one County staff seat on a 15-member advisory committee. All 15 members — including the County's two — are appointed jointly by the Town Council and the Board of Supervisors. The committee provides "guidance" to the County on the "strategic use of remaining Transient Occupancy Tax revenue funds." It has no authority over how County funds are spent, no enforcement mechanism, and no reporting obligation.</w:t>
      </w:r>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i w:val="0"/>
          <w:iCs w:val="0"/>
          <w:rtl w:val="0"/>
        </w:rPr>
        <w:t xml:space="preserve">County's Additional Obligations</w:t>
      </w:r>
      <w:r w:rsidDel="00000000" w:rsidR="00000000" w:rsidRPr="00000000">
        <w:rPr>
          <w:rtl w:val="0"/>
        </w:rPr>
      </w:r>
    </w:p>
    <w:p w:rsidR="00000000" w:rsidDel="00000000" w:rsidP="00000000" w:rsidRDefault="00000000" w:rsidRPr="00000000" w14:paraId="0000002B">
      <w:pPr>
        <w:spacing w:after="180" w:line="276" w:lineRule="auto"/>
        <w:rPr/>
      </w:pPr>
      <w:r w:rsidDel="00000000" w:rsidR="00000000" w:rsidRPr="00000000">
        <w:rPr>
          <w:i w:val="0"/>
          <w:iCs w:val="0"/>
          <w:rtl w:val="0"/>
        </w:rPr>
        <w:t xml:space="preserve">Beyond the 60% TOT contribution, the County is required to "provide any materials, images, videos, or products that may enhance existing assets for promoting tourism in Front Royal-Warren County." County-produced content flows into Town-controlled platforms with no defined ownership, use-right, or reversion provision.</w:t>
      </w: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i w:val="0"/>
          <w:iCs w:val="0"/>
          <w:rtl w:val="0"/>
        </w:rPr>
        <w:t xml:space="preserve">Asset and Dissolution Provisions</w:t>
      </w:r>
      <w:r w:rsidDel="00000000" w:rsidR="00000000" w:rsidRPr="00000000">
        <w:rPr>
          <w:rtl w:val="0"/>
        </w:rPr>
      </w:r>
    </w:p>
    <w:p w:rsidR="00000000" w:rsidDel="00000000" w:rsidP="00000000" w:rsidRDefault="00000000" w:rsidRPr="00000000" w14:paraId="0000002D">
      <w:pPr>
        <w:spacing w:after="180" w:line="276" w:lineRule="auto"/>
        <w:rPr/>
      </w:pPr>
      <w:r w:rsidDel="00000000" w:rsidR="00000000" w:rsidRPr="00000000">
        <w:rPr>
          <w:i w:val="0"/>
          <w:iCs w:val="0"/>
          <w:rtl w:val="0"/>
        </w:rPr>
        <w:t xml:space="preserve">None. The Town's 2026 proposal contains no asset-reversion clause, no dissolution provision, no performance metrics, no line-item budget requirement, no compliance review, no prohibited uses, and no mechanism for the County to recover its investment upon termination. Every structural failure of the 2022 Agreement is reproduced in this proposal — while the County's financial obligation increases and its governance rights decrease.</w:t>
      </w:r>
      <w:r w:rsidDel="00000000" w:rsidR="00000000" w:rsidRPr="00000000">
        <w:rPr>
          <w:rtl w:val="0"/>
        </w:rPr>
      </w:r>
    </w:p>
    <w:p w:rsidR="00000000" w:rsidDel="00000000" w:rsidP="00000000" w:rsidRDefault="00000000" w:rsidRPr="00000000" w14:paraId="0000002E">
      <w:pPr>
        <w:pStyle w:val="Heading2"/>
        <w:rPr/>
      </w:pPr>
      <w:r w:rsidDel="00000000" w:rsidR="00000000" w:rsidRPr="00000000">
        <w:rPr>
          <w:i w:val="0"/>
          <w:iCs w:val="0"/>
          <w:rtl w:val="0"/>
        </w:rPr>
        <w:t xml:space="preserve">Strengths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Correct citation of Va. Code § 58.1-3819.A.2, with accurate statutory language.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Preserves the right of both parties to conduct tourism activities outside the agreement.</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15-member committee composition includes meaningful sector representation: lodging, dining, outdoor recreation, agritourism, sports, retail, and heritage.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Annual stakeholder meeting requirement provides a public accountability forum.</w:t>
      </w:r>
    </w:p>
    <w:p w:rsidR="00000000" w:rsidDel="00000000" w:rsidP="00000000" w:rsidRDefault="00000000" w:rsidRPr="00000000" w14:paraId="00000033">
      <w:pPr>
        <w:pStyle w:val="Heading2"/>
        <w:rPr/>
      </w:pPr>
      <w:r w:rsidDel="00000000" w:rsidR="00000000" w:rsidRPr="00000000">
        <w:rPr>
          <w:i w:val="0"/>
          <w:iCs w:val="0"/>
          <w:rtl w:val="0"/>
        </w:rPr>
        <w:t xml:space="preserve">Critical Failures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60% of all County TOT</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revenue — uncapped, unbudgeted, not tied to deliverables or performance.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County funds directed to Town operational expenses (staffing, memberships) with no joint marketing requirement.</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County moves from 50% funder with non-voting seats (2022) to 60%+ funder with advisory-only seats (2026) — a structural step backward.</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asset-reversion clause. County contributions produce no County-owned assets.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dissolution provision. No County protections upon termination.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performance metrics, no reporting requirements, no compliance review.</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prohibited uses — County funds can be used for Town overhead with no restriction.</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Automatic annual renewal unless terminated by March 1 — no affirmative renewal required.</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County-produced content transferred to Town-controlled platforms without defined ownership or reversion.</w:t>
      </w:r>
    </w:p>
    <w:p w:rsidR="00000000" w:rsidDel="00000000" w:rsidP="00000000" w:rsidRDefault="00000000" w:rsidRPr="00000000" w14:paraId="0000003D">
      <w:pPr>
        <w:pStyle w:val="Heading1"/>
        <w:rPr/>
      </w:pPr>
      <w:r w:rsidDel="00000000" w:rsidR="00000000" w:rsidRPr="00000000">
        <w:rPr>
          <w:rtl w:val="0"/>
        </w:rPr>
        <w:t xml:space="preserve">Document 3: Warren County's 2026 Proposed Memorandum of Agreement</w:t>
      </w:r>
    </w:p>
    <w:p w:rsidR="00000000" w:rsidDel="00000000" w:rsidP="00000000" w:rsidRDefault="00000000" w:rsidRPr="00000000" w14:paraId="0000003E">
      <w:pPr>
        <w:spacing w:after="180" w:line="276" w:lineRule="auto"/>
        <w:rPr/>
      </w:pPr>
      <w:r w:rsidDel="00000000" w:rsidR="00000000" w:rsidRPr="00000000">
        <w:rPr>
          <w:i w:val="1"/>
          <w:iCs w:val="1"/>
          <w:rtl w:val="0"/>
        </w:rPr>
        <w:t xml:space="preserve">Warren County's opening position for negotiation. Submitted for good-faith review by both parties. Core provisions reflect County minimum requirements based on documented failures of prior agreements. All other terms remain open to discussion.</w:t>
      </w:r>
      <w:r w:rsidDel="00000000" w:rsidR="00000000" w:rsidRPr="00000000">
        <w:rPr>
          <w:rtl w:val="0"/>
        </w:rPr>
      </w:r>
    </w:p>
    <w:p w:rsidR="00000000" w:rsidDel="00000000" w:rsidP="00000000" w:rsidRDefault="00000000" w:rsidRPr="00000000" w14:paraId="0000003F">
      <w:pPr>
        <w:pStyle w:val="Heading2"/>
        <w:rPr/>
      </w:pPr>
      <w:r w:rsidDel="00000000" w:rsidR="00000000" w:rsidRPr="00000000">
        <w:rPr>
          <w:i w:val="0"/>
          <w:iCs w:val="0"/>
          <w:rtl w:val="0"/>
        </w:rPr>
        <w:t xml:space="preserve">Structure</w:t>
      </w:r>
      <w:r w:rsidDel="00000000" w:rsidR="00000000" w:rsidRPr="00000000">
        <w:rPr>
          <w:rtl w:val="0"/>
        </w:rPr>
      </w:r>
    </w:p>
    <w:p w:rsidR="00000000" w:rsidDel="00000000" w:rsidP="00000000" w:rsidRDefault="00000000" w:rsidRPr="00000000" w14:paraId="00000040">
      <w:pPr>
        <w:spacing w:after="180" w:line="276" w:lineRule="auto"/>
        <w:rPr/>
      </w:pPr>
      <w:r w:rsidDel="00000000" w:rsidR="00000000" w:rsidRPr="00000000">
        <w:rPr>
          <w:i w:val="0"/>
          <w:iCs w:val="0"/>
          <w:rtl w:val="0"/>
        </w:rPr>
        <w:t xml:space="preserve">Structured grant framework, not revenue-sharing. The County retains full independent authority over its tourism operations, brands, platforms, and assets. The Town participates as a partner agency on defined terms, subject to the same accountability standards applied to any recipient of County public funds. The agreement is governed by the Warren County Tourism Strategic Blueprint.</w:t>
      </w:r>
      <w:r w:rsidDel="00000000" w:rsidR="00000000" w:rsidRPr="00000000">
        <w:rPr>
          <w:rtl w:val="0"/>
        </w:rPr>
      </w:r>
    </w:p>
    <w:p w:rsidR="00000000" w:rsidDel="00000000" w:rsidP="00000000" w:rsidRDefault="00000000" w:rsidRPr="00000000" w14:paraId="00000041">
      <w:pPr>
        <w:pStyle w:val="Heading3"/>
        <w:spacing w:after="80" w:before="280" w:line="276" w:lineRule="auto"/>
        <w:rPr>
          <w:b w:val="1"/>
          <w:bCs w:val="1"/>
          <w:color w:val="000000"/>
          <w:sz w:val="26"/>
          <w:szCs w:val="26"/>
        </w:rPr>
      </w:pPr>
      <w:bookmarkStart w:colFirst="0" w:colLast="0" w:name="_heading=h.4uxyz6agxtl2" w:id="0"/>
      <w:bookmarkEnd w:id="0"/>
      <w:r w:rsidDel="00000000" w:rsidR="00000000" w:rsidRPr="00000000">
        <w:rPr>
          <w:b w:val="1"/>
          <w:bCs w:val="1"/>
          <w:color w:val="000000"/>
          <w:sz w:val="26"/>
          <w:szCs w:val="26"/>
          <w:rtl w:val="0"/>
        </w:rPr>
        <w:t xml:space="preserve">Funding — 2027 Tiered Collaborative Matching Grant Framework</w:t>
      </w:r>
    </w:p>
    <w:p w:rsidR="00000000" w:rsidDel="00000000" w:rsidP="00000000" w:rsidRDefault="00000000" w:rsidRPr="00000000" w14:paraId="00000042">
      <w:pPr>
        <w:spacing w:after="240" w:before="240" w:line="276" w:lineRule="auto"/>
        <w:rPr/>
      </w:pPr>
      <w:r w:rsidDel="00000000" w:rsidR="00000000" w:rsidRPr="00000000">
        <w:rPr>
          <w:rtl w:val="0"/>
        </w:rPr>
        <w:t xml:space="preserve">Beginning with the 2027 funding cycle, the County proposes a </w:t>
      </w:r>
      <w:r w:rsidDel="00000000" w:rsidR="00000000" w:rsidRPr="00000000">
        <w:rPr>
          <w:b w:val="1"/>
          <w:bCs w:val="1"/>
          <w:rtl w:val="0"/>
        </w:rPr>
        <w:t xml:space="preserve">Tiered Collaborative Matching Grant Framework</w:t>
      </w:r>
      <w:r w:rsidDel="00000000" w:rsidR="00000000" w:rsidRPr="00000000">
        <w:rPr>
          <w:rtl w:val="0"/>
        </w:rPr>
        <w:t xml:space="preserve"> that ties public investment directly to demonstrated organizational capacity, documented performance, and measurable public benefit.</w:t>
      </w:r>
    </w:p>
    <w:p w:rsidR="00000000" w:rsidDel="00000000" w:rsidP="00000000" w:rsidRDefault="00000000" w:rsidRPr="00000000" w14:paraId="00000043">
      <w:pPr>
        <w:spacing w:after="240" w:before="240" w:line="276" w:lineRule="auto"/>
        <w:rPr/>
      </w:pPr>
      <w:r w:rsidDel="00000000" w:rsidR="00000000" w:rsidRPr="00000000">
        <w:rPr>
          <w:b w:val="1"/>
          <w:bCs w:val="1"/>
          <w:rtl w:val="0"/>
        </w:rPr>
        <w:t xml:space="preserve">Tier 1 — Established Destination Organizations (match up to $50,000).</w:t>
      </w:r>
      <w:r w:rsidDel="00000000" w:rsidR="00000000" w:rsidRPr="00000000">
        <w:rPr>
          <w:rtl w:val="0"/>
        </w:rPr>
        <w:t xml:space="preserve"> Requires a verified Board-approved marketing budget, documented Destination Marketing Organization (DMO) or equivalent operational capacity, platform-verified baseline analytics, documented digital marketing infrastructure, and a formally adopted budget resolution from the recipient's governing body.</w:t>
      </w:r>
    </w:p>
    <w:p w:rsidR="00000000" w:rsidDel="00000000" w:rsidP="00000000" w:rsidRDefault="00000000" w:rsidRPr="00000000" w14:paraId="00000044">
      <w:pPr>
        <w:spacing w:after="240" w:before="240" w:line="276" w:lineRule="auto"/>
        <w:rPr/>
      </w:pPr>
      <w:r w:rsidDel="00000000" w:rsidR="00000000" w:rsidRPr="00000000">
        <w:rPr>
          <w:b w:val="1"/>
          <w:bCs w:val="1"/>
          <w:rtl w:val="0"/>
        </w:rPr>
        <w:t xml:space="preserve">Tier 2 — Tourism-Sector Businesses and Organizations (match up to $15,000).</w:t>
      </w:r>
      <w:r w:rsidDel="00000000" w:rsidR="00000000" w:rsidRPr="00000000">
        <w:rPr>
          <w:rtl w:val="0"/>
        </w:rPr>
        <w:t xml:space="preserve"> Requires verified marketing budget documentation, completed baseline analytics, and a defined scope of work aligned with County tourism objectives. DMO status is not required; however, applicants must demonstrate an active and measurable tourism marketing presence.</w:t>
      </w:r>
    </w:p>
    <w:p w:rsidR="00000000" w:rsidDel="00000000" w:rsidP="00000000" w:rsidRDefault="00000000" w:rsidRPr="00000000" w14:paraId="00000045">
      <w:pPr>
        <w:spacing w:after="240" w:before="240" w:line="276" w:lineRule="auto"/>
        <w:rPr/>
      </w:pPr>
      <w:r w:rsidDel="00000000" w:rsidR="00000000" w:rsidRPr="00000000">
        <w:rPr>
          <w:b w:val="1"/>
          <w:bCs w:val="1"/>
          <w:rtl w:val="0"/>
        </w:rPr>
        <w:t xml:space="preserve">Tier 3 — Emerging or Event-Based Partners (match up to $5,000).</w:t>
      </w:r>
      <w:r w:rsidDel="00000000" w:rsidR="00000000" w:rsidRPr="00000000">
        <w:rPr>
          <w:rtl w:val="0"/>
        </w:rPr>
        <w:t xml:space="preserve"> Intended for hallmark events, agritourism operators, outdoor recreation providers, community organizations, and other single-initiative applicants. Requires a line-item budget, defined deliverables, and a post-initiative performance report.</w:t>
      </w:r>
    </w:p>
    <w:p w:rsidR="00000000" w:rsidDel="00000000" w:rsidP="00000000" w:rsidRDefault="00000000" w:rsidRPr="00000000" w14:paraId="00000046">
      <w:pPr>
        <w:spacing w:after="240" w:before="240" w:line="276" w:lineRule="auto"/>
        <w:rPr/>
      </w:pPr>
      <w:r w:rsidDel="00000000" w:rsidR="00000000" w:rsidRPr="00000000">
        <w:rPr>
          <w:rtl w:val="0"/>
        </w:rPr>
        <w:t xml:space="preserve">Tier placement is determined by the County's Tourism Director based upon verified documentation submitted by each applicant. The County's matching contribution shall not exceed the lesser of the recipient's verified marketing budget or the maximum funding amount established for that tier. No prior appropriation, historical funding pattern, or previous agreement creates an entitlement to future funding, tier placement, or matching levels. Tier funding limits may be modified only through a written amendment approved by both governing bodies.</w:t>
      </w:r>
    </w:p>
    <w:p w:rsidR="00000000" w:rsidDel="00000000" w:rsidP="00000000" w:rsidRDefault="00000000" w:rsidRPr="00000000" w14:paraId="00000047">
      <w:pPr>
        <w:pStyle w:val="Heading2"/>
        <w:rPr/>
      </w:pPr>
      <w:r w:rsidDel="00000000" w:rsidR="00000000" w:rsidRPr="00000000">
        <w:rPr>
          <w:i w:val="0"/>
          <w:iCs w:val="0"/>
          <w:rtl w:val="0"/>
        </w:rPr>
        <w:t xml:space="preserve">County's Reserved Authority</w:t>
      </w:r>
      <w:r w:rsidDel="00000000" w:rsidR="00000000" w:rsidRPr="00000000">
        <w:rPr>
          <w:rtl w:val="0"/>
        </w:rPr>
      </w:r>
    </w:p>
    <w:p w:rsidR="00000000" w:rsidDel="00000000" w:rsidP="00000000" w:rsidRDefault="00000000" w:rsidRPr="00000000" w14:paraId="00000048">
      <w:pPr>
        <w:spacing w:after="180" w:line="276" w:lineRule="auto"/>
        <w:rPr/>
      </w:pPr>
      <w:r w:rsidDel="00000000" w:rsidR="00000000" w:rsidRPr="00000000">
        <w:rPr>
          <w:i w:val="0"/>
          <w:iCs w:val="0"/>
          <w:rtl w:val="0"/>
        </w:rPr>
        <w:t xml:space="preserve">Full. The County retains all independent authority: its own brands, platforms, DMO registration with the VTC, grant applications, partnerships, visitor touchpoints — including independent interactive kiosks — and marketing campaigns. The County holds the first right of refusal on any joint initiative seeking County funding, branding, or amplification. The County explicitly reserves the right to cap, limit, or decline funding for print marketing without verified ROI documentation. The County also reserves the right to cap its total financial contribution to any partner agency regardless of prior funding history.</w:t>
      </w: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i w:val="0"/>
          <w:iCs w:val="0"/>
          <w:rtl w:val="0"/>
        </w:rPr>
        <w:t xml:space="preserve">Asset and Dissolution Provisions</w:t>
      </w:r>
      <w:r w:rsidDel="00000000" w:rsidR="00000000" w:rsidRPr="00000000">
        <w:rPr>
          <w:rtl w:val="0"/>
        </w:rPr>
      </w:r>
    </w:p>
    <w:p w:rsidR="00000000" w:rsidDel="00000000" w:rsidP="00000000" w:rsidRDefault="00000000" w:rsidRPr="00000000" w14:paraId="0000004A">
      <w:pPr>
        <w:spacing w:after="180" w:line="276" w:lineRule="auto"/>
        <w:rPr>
          <w:i w:val="0"/>
          <w:iCs w:val="0"/>
        </w:rPr>
      </w:pPr>
      <w:r w:rsidDel="00000000" w:rsidR="00000000" w:rsidRPr="00000000">
        <w:rPr>
          <w:i w:val="0"/>
          <w:iCs w:val="0"/>
          <w:rtl w:val="0"/>
        </w:rPr>
        <w:t xml:space="preserve">Explicit and comprehensive. Independently developed assets remain with their respective owners. Grant-funded assets are subject to shared ownership proportional to financial contribution, defined in a written agreement before disbursement. </w:t>
      </w:r>
    </w:p>
    <w:p w:rsidR="00000000" w:rsidDel="00000000" w:rsidP="00000000" w:rsidRDefault="00000000" w:rsidRPr="00000000" w14:paraId="0000004B">
      <w:pPr>
        <w:spacing w:after="180" w:line="276" w:lineRule="auto"/>
        <w:rPr/>
      </w:pPr>
      <w:r w:rsidDel="00000000" w:rsidR="00000000" w:rsidRPr="00000000">
        <w:rPr>
          <w:i w:val="0"/>
          <w:iCs w:val="0"/>
          <w:rtl w:val="0"/>
        </w:rPr>
        <w:t xml:space="preserve">No written ownership agreement before production defaults to County sole ownership. Analytics access survives termination.</w:t>
      </w:r>
      <w:r w:rsidDel="00000000" w:rsidR="00000000" w:rsidRPr="00000000">
        <w:rPr>
          <w:rtl w:val="0"/>
        </w:rPr>
      </w:r>
    </w:p>
    <w:p w:rsidR="00000000" w:rsidDel="00000000" w:rsidP="00000000" w:rsidRDefault="00000000" w:rsidRPr="00000000" w14:paraId="0000004C">
      <w:pPr>
        <w:spacing w:after="180" w:line="276" w:lineRule="auto"/>
        <w:rPr/>
      </w:pPr>
      <w:r w:rsidDel="00000000" w:rsidR="00000000" w:rsidRPr="00000000">
        <w:rPr>
          <w:i w:val="0"/>
          <w:iCs w:val="0"/>
          <w:rtl w:val="0"/>
        </w:rPr>
        <w:t xml:space="preserve">No party may remove, delete, or transfer jointly accessed digital assets during the 90-day notice period or prior to satisfaction of all financial obligations.</w:t>
      </w:r>
      <w:r w:rsidDel="00000000" w:rsidR="00000000" w:rsidRPr="00000000">
        <w:rPr>
          <w:rtl w:val="0"/>
        </w:rPr>
      </w:r>
    </w:p>
    <w:p w:rsidR="00000000" w:rsidDel="00000000" w:rsidP="00000000" w:rsidRDefault="00000000" w:rsidRPr="00000000" w14:paraId="0000004D">
      <w:pPr>
        <w:pStyle w:val="Heading2"/>
        <w:rPr/>
      </w:pPr>
      <w:r w:rsidDel="00000000" w:rsidR="00000000" w:rsidRPr="00000000">
        <w:rPr>
          <w:i w:val="0"/>
          <w:iCs w:val="0"/>
          <w:rtl w:val="0"/>
        </w:rPr>
        <w:t xml:space="preserve">Compliance and Accountability</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Pre-disbursement: complete marketing plan, strict line-item budget, itemized list of all active advertising platforms, and verified baseline analytics documentation — platform-authenticated data exports or dashboard screenshots, not self-reported summaries.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Prohibited uses defined by name: staffing, overhead, website rebuilds, memberships, solo events, unapproved expenditures.</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Mid-grant progress report required at funded period midpoint.</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Documented compliance review at close of funded period — pass/fail, outcome stated in writing within 30 days.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Recovery of misspent funds within 60 days of written notice. Failure constitutes material breach and immediate disqualification from future eligibility.</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auto-renewal. Continuation beyond June 30, 2027 requires affirmative action by both governing bodies.</w:t>
      </w:r>
    </w:p>
    <w:p w:rsidR="00000000" w:rsidDel="00000000" w:rsidP="00000000" w:rsidRDefault="00000000" w:rsidRPr="00000000" w14:paraId="00000054">
      <w:pPr>
        <w:pStyle w:val="Heading2"/>
        <w:rPr/>
      </w:pPr>
      <w:r w:rsidDel="00000000" w:rsidR="00000000" w:rsidRPr="00000000">
        <w:rPr>
          <w:i w:val="0"/>
          <w:iCs w:val="0"/>
          <w:rtl w:val="0"/>
        </w:rPr>
        <w:t xml:space="preserve">Quarterly Collaboration Framework</w:t>
      </w:r>
      <w:r w:rsidDel="00000000" w:rsidR="00000000" w:rsidRPr="00000000">
        <w:rPr>
          <w:rtl w:val="0"/>
        </w:rPr>
      </w:r>
    </w:p>
    <w:p w:rsidR="00000000" w:rsidDel="00000000" w:rsidP="00000000" w:rsidRDefault="00000000" w:rsidRPr="00000000" w14:paraId="00000055">
      <w:pPr>
        <w:spacing w:after="180" w:line="276" w:lineRule="auto"/>
        <w:rPr/>
      </w:pPr>
      <w:r w:rsidDel="00000000" w:rsidR="00000000" w:rsidRPr="00000000">
        <w:rPr>
          <w:i w:val="0"/>
          <w:iCs w:val="0"/>
          <w:rtl w:val="0"/>
        </w:rPr>
        <w:t xml:space="preserve">Independent of grant funding and tier placement, all partner agencies are expected to jointly develop and complete at least one collaborative tourism initiative per quarter — at their own expense, on their own ledger. Failure to participate meaningfully is documented and factors into future tier placement and funding determinations. Quarterly collaboration is not optional goodwill. It is the second half of what it means to be a partner agency.</w:t>
      </w:r>
      <w:r w:rsidDel="00000000" w:rsidR="00000000" w:rsidRPr="00000000">
        <w:rPr>
          <w:rtl w:val="0"/>
        </w:rPr>
      </w:r>
    </w:p>
    <w:p w:rsidR="00000000" w:rsidDel="00000000" w:rsidP="00000000" w:rsidRDefault="00000000" w:rsidRPr="00000000" w14:paraId="00000056">
      <w:pPr>
        <w:pStyle w:val="Heading2"/>
        <w:rPr/>
      </w:pPr>
      <w:r w:rsidDel="00000000" w:rsidR="00000000" w:rsidRPr="00000000">
        <w:rPr>
          <w:i w:val="0"/>
          <w:iCs w:val="0"/>
          <w:rtl w:val="0"/>
        </w:rPr>
        <w:t xml:space="preserve">Transparency</w:t>
      </w:r>
      <w:r w:rsidDel="00000000" w:rsidR="00000000" w:rsidRPr="00000000">
        <w:rPr>
          <w:rtl w:val="0"/>
        </w:rPr>
      </w:r>
    </w:p>
    <w:p w:rsidR="00000000" w:rsidDel="00000000" w:rsidP="00000000" w:rsidRDefault="00000000" w:rsidRPr="00000000" w14:paraId="00000057">
      <w:pPr>
        <w:spacing w:after="180" w:line="276" w:lineRule="auto"/>
        <w:rPr/>
      </w:pPr>
      <w:r w:rsidDel="00000000" w:rsidR="00000000" w:rsidRPr="00000000">
        <w:rPr>
          <w:i w:val="0"/>
          <w:iCs w:val="0"/>
          <w:rtl w:val="0"/>
        </w:rPr>
        <w:t xml:space="preserve">All organizations receiving County tourism funding — at any tier — are required to provide the County's Tourism Director a current, itemized list of all platforms and publications where they actively advertise, updated annually and within 30 days of any material change. This requirement is not limited to the Town of Front Royal.</w:t>
      </w:r>
      <w:r w:rsidDel="00000000" w:rsidR="00000000" w:rsidRPr="00000000">
        <w:rPr>
          <w:rtl w:val="0"/>
        </w:rPr>
      </w:r>
    </w:p>
    <w:p w:rsidR="00000000" w:rsidDel="00000000" w:rsidP="00000000" w:rsidRDefault="00000000" w:rsidRPr="00000000" w14:paraId="00000058">
      <w:pPr>
        <w:pStyle w:val="Heading2"/>
        <w:rPr/>
      </w:pPr>
      <w:r w:rsidDel="00000000" w:rsidR="00000000" w:rsidRPr="00000000">
        <w:rPr>
          <w:i w:val="0"/>
          <w:iCs w:val="0"/>
          <w:rtl w:val="0"/>
        </w:rPr>
        <w:t xml:space="preserve">Open Eligibility</w:t>
      </w:r>
      <w:r w:rsidDel="00000000" w:rsidR="00000000" w:rsidRPr="00000000">
        <w:rPr>
          <w:rtl w:val="0"/>
        </w:rPr>
      </w:r>
    </w:p>
    <w:p w:rsidR="00000000" w:rsidDel="00000000" w:rsidP="00000000" w:rsidRDefault="00000000" w:rsidRPr="00000000" w14:paraId="00000059">
      <w:pPr>
        <w:spacing w:after="180" w:line="276" w:lineRule="auto"/>
        <w:rPr/>
      </w:pPr>
      <w:r w:rsidDel="00000000" w:rsidR="00000000" w:rsidRPr="00000000">
        <w:rPr>
          <w:i w:val="0"/>
          <w:iCs w:val="0"/>
          <w:rtl w:val="0"/>
        </w:rPr>
        <w:t xml:space="preserve">The grant framework is not reserved for any single organization. Any Warren County tourism-sector business, attraction, or organization capable of meeting the application, baseline analytics, scope-of-work, and reporting standards for its tier is eligible to apply on the same terms. The framework is built around demonstrated capability, not around any single recipient.</w:t>
      </w:r>
      <w:r w:rsidDel="00000000" w:rsidR="00000000" w:rsidRPr="00000000">
        <w:rPr>
          <w:rtl w:val="0"/>
        </w:rPr>
      </w:r>
    </w:p>
    <w:p w:rsidR="00000000" w:rsidDel="00000000" w:rsidP="00000000" w:rsidRDefault="00000000" w:rsidRPr="00000000" w14:paraId="0000005A">
      <w:pPr>
        <w:pStyle w:val="Heading1"/>
        <w:rPr/>
      </w:pPr>
      <w:r w:rsidDel="00000000" w:rsidR="00000000" w:rsidRPr="00000000">
        <w:rPr>
          <w:rtl w:val="0"/>
        </w:rPr>
        <w:t xml:space="preserve">Side-by-Side Comparison</w:t>
      </w:r>
    </w:p>
    <w:tbl>
      <w:tblPr>
        <w:tblStyle w:val="Table1"/>
        <w:tblW w:w="95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5"/>
        <w:gridCol w:w="2055"/>
        <w:gridCol w:w="1845"/>
        <w:gridCol w:w="2175"/>
        <w:tblGridChange w:id="0">
          <w:tblGrid>
            <w:gridCol w:w="3495"/>
            <w:gridCol w:w="2055"/>
            <w:gridCol w:w="1845"/>
            <w:gridCol w:w="2175"/>
          </w:tblGrid>
        </w:tblGridChange>
      </w:tblGrid>
      <w:tr>
        <w:trPr>
          <w:cantSplit w:val="0"/>
          <w:tblHeader w:val="0"/>
        </w:trPr>
        <w:tc>
          <w:tcPr>
            <w:shd w:fill="2e74b5" w:val="clear"/>
            <w:tcMar>
              <w:top w:w="80.0" w:type="dxa"/>
              <w:left w:w="120.0" w:type="dxa"/>
              <w:bottom w:w="80.0" w:type="dxa"/>
              <w:right w:w="120.0" w:type="dxa"/>
            </w:tcMar>
          </w:tcPr>
          <w:p w:rsidR="00000000" w:rsidDel="00000000" w:rsidP="00000000" w:rsidRDefault="00000000" w:rsidRPr="00000000" w14:paraId="0000005B">
            <w:pPr>
              <w:spacing w:after="60" w:line="240" w:lineRule="auto"/>
              <w:rPr/>
            </w:pPr>
            <w:r w:rsidDel="00000000" w:rsidR="00000000" w:rsidRPr="00000000">
              <w:rPr>
                <w:b w:val="1"/>
                <w:bCs w:val="1"/>
                <w:color w:val="ffffff"/>
                <w:sz w:val="18"/>
                <w:szCs w:val="18"/>
                <w:rtl w:val="0"/>
              </w:rPr>
              <w:t xml:space="preserve">Provision</w:t>
            </w:r>
            <w:r w:rsidDel="00000000" w:rsidR="00000000" w:rsidRPr="00000000">
              <w:rPr>
                <w:rtl w:val="0"/>
              </w:rPr>
            </w:r>
          </w:p>
        </w:tc>
        <w:tc>
          <w:tcPr>
            <w:shd w:fill="2e74b5" w:val="clear"/>
            <w:tcMar>
              <w:top w:w="80.0" w:type="dxa"/>
              <w:left w:w="120.0" w:type="dxa"/>
              <w:bottom w:w="80.0" w:type="dxa"/>
              <w:right w:w="120.0" w:type="dxa"/>
            </w:tcMar>
          </w:tcPr>
          <w:p w:rsidR="00000000" w:rsidDel="00000000" w:rsidP="00000000" w:rsidRDefault="00000000" w:rsidRPr="00000000" w14:paraId="0000005C">
            <w:pPr>
              <w:spacing w:after="60" w:line="240" w:lineRule="auto"/>
              <w:rPr/>
            </w:pPr>
            <w:r w:rsidDel="00000000" w:rsidR="00000000" w:rsidRPr="00000000">
              <w:rPr>
                <w:b w:val="1"/>
                <w:bCs w:val="1"/>
                <w:color w:val="ffffff"/>
                <w:sz w:val="18"/>
                <w:szCs w:val="18"/>
                <w:rtl w:val="0"/>
              </w:rPr>
              <w:t xml:space="preserve">2022 Joint Agreement</w:t>
            </w:r>
            <w:r w:rsidDel="00000000" w:rsidR="00000000" w:rsidRPr="00000000">
              <w:rPr>
                <w:rtl w:val="0"/>
              </w:rPr>
            </w:r>
          </w:p>
        </w:tc>
        <w:tc>
          <w:tcPr>
            <w:shd w:fill="2e74b5" w:val="clear"/>
            <w:tcMar>
              <w:top w:w="80.0" w:type="dxa"/>
              <w:left w:w="120.0" w:type="dxa"/>
              <w:bottom w:w="80.0" w:type="dxa"/>
              <w:right w:w="120.0" w:type="dxa"/>
            </w:tcMar>
          </w:tcPr>
          <w:p w:rsidR="00000000" w:rsidDel="00000000" w:rsidP="00000000" w:rsidRDefault="00000000" w:rsidRPr="00000000" w14:paraId="0000005D">
            <w:pPr>
              <w:spacing w:after="60" w:line="240" w:lineRule="auto"/>
              <w:rPr/>
            </w:pPr>
            <w:r w:rsidDel="00000000" w:rsidR="00000000" w:rsidRPr="00000000">
              <w:rPr>
                <w:b w:val="1"/>
                <w:bCs w:val="1"/>
                <w:color w:val="ffffff"/>
                <w:sz w:val="18"/>
                <w:szCs w:val="18"/>
                <w:rtl w:val="0"/>
              </w:rPr>
              <w:t xml:space="preserve">Town's 2026 MOU</w:t>
            </w:r>
            <w:r w:rsidDel="00000000" w:rsidR="00000000" w:rsidRPr="00000000">
              <w:rPr>
                <w:rtl w:val="0"/>
              </w:rPr>
            </w:r>
          </w:p>
        </w:tc>
        <w:tc>
          <w:tcPr>
            <w:shd w:fill="2e74b5" w:val="clear"/>
            <w:tcMar>
              <w:top w:w="80.0" w:type="dxa"/>
              <w:left w:w="120.0" w:type="dxa"/>
              <w:bottom w:w="80.0" w:type="dxa"/>
              <w:right w:w="120.0" w:type="dxa"/>
            </w:tcMar>
          </w:tcPr>
          <w:p w:rsidR="00000000" w:rsidDel="00000000" w:rsidP="00000000" w:rsidRDefault="00000000" w:rsidRPr="00000000" w14:paraId="0000005E">
            <w:pPr>
              <w:spacing w:after="60" w:line="240" w:lineRule="auto"/>
              <w:rPr/>
            </w:pPr>
            <w:r w:rsidDel="00000000" w:rsidR="00000000" w:rsidRPr="00000000">
              <w:rPr>
                <w:b w:val="1"/>
                <w:bCs w:val="1"/>
                <w:color w:val="ffffff"/>
                <w:sz w:val="18"/>
                <w:szCs w:val="18"/>
                <w:rtl w:val="0"/>
              </w:rPr>
              <w:t xml:space="preserve">County's 2026 MOA</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5F">
            <w:pPr>
              <w:spacing w:after="60" w:line="240" w:lineRule="auto"/>
              <w:rPr/>
            </w:pPr>
            <w:r w:rsidDel="00000000" w:rsidR="00000000" w:rsidRPr="00000000">
              <w:rPr>
                <w:b w:val="1"/>
                <w:bCs w:val="1"/>
                <w:color w:val="000000"/>
                <w:sz w:val="18"/>
                <w:szCs w:val="18"/>
                <w:rtl w:val="0"/>
              </w:rPr>
              <w:t xml:space="preserve">Funding model</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0">
            <w:pPr>
              <w:spacing w:after="60" w:line="240" w:lineRule="auto"/>
              <w:rPr/>
            </w:pPr>
            <w:r w:rsidDel="00000000" w:rsidR="00000000" w:rsidRPr="00000000">
              <w:rPr>
                <w:b w:val="0"/>
                <w:bCs w:val="0"/>
                <w:color w:val="000000"/>
                <w:sz w:val="18"/>
                <w:szCs w:val="18"/>
                <w:rtl w:val="0"/>
              </w:rPr>
              <w:t xml:space="preserve">Equal 50/50, capped at 70% TOT 5-yr avg</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1">
            <w:pPr>
              <w:spacing w:after="60" w:line="240" w:lineRule="auto"/>
              <w:rPr/>
            </w:pPr>
            <w:r w:rsidDel="00000000" w:rsidR="00000000" w:rsidRPr="00000000">
              <w:rPr>
                <w:b w:val="0"/>
                <w:bCs w:val="0"/>
                <w:color w:val="000000"/>
                <w:sz w:val="18"/>
                <w:szCs w:val="18"/>
                <w:rtl w:val="0"/>
              </w:rPr>
              <w:t xml:space="preserve">County pays 60% of all County TOT — uncapped</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2">
            <w:pPr>
              <w:spacing w:after="60" w:line="240" w:lineRule="auto"/>
              <w:rPr/>
            </w:pPr>
            <w:r w:rsidDel="00000000" w:rsidR="00000000" w:rsidRPr="00000000">
              <w:rPr>
                <w:b w:val="0"/>
                <w:bCs w:val="0"/>
                <w:color w:val="000000"/>
                <w:sz w:val="18"/>
                <w:szCs w:val="18"/>
                <w:rtl w:val="0"/>
              </w:rPr>
              <w:t xml:space="preserve">$30K grant (2026 Tier 1 only); 2027 tiered 1:1 match upon compliance</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63">
            <w:pPr>
              <w:spacing w:after="60" w:line="240" w:lineRule="auto"/>
              <w:rPr/>
            </w:pPr>
            <w:r w:rsidDel="00000000" w:rsidR="00000000" w:rsidRPr="00000000">
              <w:rPr>
                <w:b w:val="1"/>
                <w:bCs w:val="1"/>
                <w:color w:val="000000"/>
                <w:sz w:val="18"/>
                <w:szCs w:val="18"/>
                <w:rtl w:val="0"/>
              </w:rPr>
              <w:t xml:space="preserve">2027 funding path</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4">
            <w:pPr>
              <w:spacing w:after="60" w:line="240" w:lineRule="auto"/>
              <w:rPr/>
            </w:pPr>
            <w:r w:rsidDel="00000000" w:rsidR="00000000" w:rsidRPr="00000000">
              <w:rPr>
                <w:b w:val="0"/>
                <w:bCs w:val="0"/>
                <w:color w:val="000000"/>
                <w:sz w:val="18"/>
                <w:szCs w:val="18"/>
                <w:rtl w:val="0"/>
              </w:rPr>
              <w:t xml:space="preserve">N/A</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5">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6">
            <w:pPr>
              <w:spacing w:after="60" w:line="240" w:lineRule="auto"/>
              <w:rPr/>
            </w:pPr>
            <w:r w:rsidDel="00000000" w:rsidR="00000000" w:rsidRPr="00000000">
              <w:rPr>
                <w:b w:val="0"/>
                <w:bCs w:val="0"/>
                <w:color w:val="000000"/>
                <w:sz w:val="18"/>
                <w:szCs w:val="18"/>
                <w:rtl w:val="0"/>
              </w:rPr>
              <w:t xml:space="preserve">Tiered matching: $50K / $15K / $5K by demonstrated capacity</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67">
            <w:pPr>
              <w:spacing w:after="60" w:line="240" w:lineRule="auto"/>
              <w:rPr/>
            </w:pPr>
            <w:r w:rsidDel="00000000" w:rsidR="00000000" w:rsidRPr="00000000">
              <w:rPr>
                <w:b w:val="1"/>
                <w:bCs w:val="1"/>
                <w:color w:val="000000"/>
                <w:sz w:val="18"/>
                <w:szCs w:val="18"/>
                <w:rtl w:val="0"/>
              </w:rPr>
              <w:t xml:space="preserve">County voting/governance rights</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8">
            <w:pPr>
              <w:spacing w:after="60" w:line="240" w:lineRule="auto"/>
              <w:rPr/>
            </w:pPr>
            <w:r w:rsidDel="00000000" w:rsidR="00000000" w:rsidRPr="00000000">
              <w:rPr>
                <w:b w:val="0"/>
                <w:bCs w:val="0"/>
                <w:color w:val="000000"/>
                <w:sz w:val="18"/>
                <w:szCs w:val="18"/>
                <w:rtl w:val="0"/>
              </w:rPr>
              <w:t xml:space="preserve">Non-voting seats</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9">
            <w:pPr>
              <w:spacing w:after="60" w:line="240" w:lineRule="auto"/>
              <w:rPr/>
            </w:pPr>
            <w:r w:rsidDel="00000000" w:rsidR="00000000" w:rsidRPr="00000000">
              <w:rPr>
                <w:b w:val="0"/>
                <w:bCs w:val="0"/>
                <w:color w:val="000000"/>
                <w:sz w:val="18"/>
                <w:szCs w:val="18"/>
                <w:rtl w:val="0"/>
              </w:rPr>
              <w:t xml:space="preserve">Advisory-only seats</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A">
            <w:pPr>
              <w:spacing w:after="60" w:line="240" w:lineRule="auto"/>
              <w:rPr/>
            </w:pPr>
            <w:r w:rsidDel="00000000" w:rsidR="00000000" w:rsidRPr="00000000">
              <w:rPr>
                <w:b w:val="0"/>
                <w:bCs w:val="0"/>
                <w:color w:val="000000"/>
                <w:sz w:val="18"/>
                <w:szCs w:val="18"/>
                <w:rtl w:val="0"/>
              </w:rPr>
              <w:t xml:space="preserve">County governs itself; Town holds 2 working committee seats</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6B">
            <w:pPr>
              <w:spacing w:after="60" w:line="240" w:lineRule="auto"/>
              <w:rPr/>
            </w:pPr>
            <w:r w:rsidDel="00000000" w:rsidR="00000000" w:rsidRPr="00000000">
              <w:rPr>
                <w:b w:val="1"/>
                <w:bCs w:val="1"/>
                <w:color w:val="000000"/>
                <w:sz w:val="18"/>
                <w:szCs w:val="18"/>
                <w:rtl w:val="0"/>
              </w:rPr>
              <w:t xml:space="preserve">Verified baseline analytics required</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C">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D">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6E">
            <w:pPr>
              <w:spacing w:after="60" w:line="240" w:lineRule="auto"/>
              <w:rPr/>
            </w:pPr>
            <w:r w:rsidDel="00000000" w:rsidR="00000000" w:rsidRPr="00000000">
              <w:rPr>
                <w:b w:val="0"/>
                <w:bCs w:val="0"/>
                <w:color w:val="000000"/>
                <w:sz w:val="18"/>
                <w:szCs w:val="18"/>
                <w:rtl w:val="0"/>
              </w:rPr>
              <w:t xml:space="preserve">Platform-authenticated exports required before disbursement</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6F">
            <w:pPr>
              <w:spacing w:after="60" w:line="240" w:lineRule="auto"/>
              <w:rPr/>
            </w:pPr>
            <w:r w:rsidDel="00000000" w:rsidR="00000000" w:rsidRPr="00000000">
              <w:rPr>
                <w:b w:val="1"/>
                <w:bCs w:val="1"/>
                <w:color w:val="000000"/>
                <w:sz w:val="18"/>
                <w:szCs w:val="18"/>
                <w:rtl w:val="0"/>
              </w:rPr>
              <w:t xml:space="preserve">Performance metrics</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0">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1">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2">
            <w:pPr>
              <w:spacing w:after="60" w:line="240" w:lineRule="auto"/>
              <w:rPr/>
            </w:pPr>
            <w:r w:rsidDel="00000000" w:rsidR="00000000" w:rsidRPr="00000000">
              <w:rPr>
                <w:b w:val="0"/>
                <w:bCs w:val="0"/>
                <w:color w:val="000000"/>
                <w:sz w:val="18"/>
                <w:szCs w:val="18"/>
                <w:rtl w:val="0"/>
              </w:rPr>
              <w:t xml:space="preserve">Required, quarterly</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73">
            <w:pPr>
              <w:spacing w:after="60" w:line="240" w:lineRule="auto"/>
              <w:rPr/>
            </w:pPr>
            <w:r w:rsidDel="00000000" w:rsidR="00000000" w:rsidRPr="00000000">
              <w:rPr>
                <w:b w:val="1"/>
                <w:bCs w:val="1"/>
                <w:color w:val="000000"/>
                <w:sz w:val="18"/>
                <w:szCs w:val="18"/>
                <w:rtl w:val="0"/>
              </w:rPr>
              <w:t xml:space="preserve">Line-item budget required</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4">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5">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6">
            <w:pPr>
              <w:spacing w:after="60" w:line="240" w:lineRule="auto"/>
              <w:rPr/>
            </w:pPr>
            <w:r w:rsidDel="00000000" w:rsidR="00000000" w:rsidRPr="00000000">
              <w:rPr>
                <w:b w:val="0"/>
                <w:bCs w:val="0"/>
                <w:color w:val="000000"/>
                <w:sz w:val="18"/>
                <w:szCs w:val="18"/>
                <w:rtl w:val="0"/>
              </w:rPr>
              <w:t xml:space="preserve">Required before disbursement</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77">
            <w:pPr>
              <w:spacing w:after="60" w:line="240" w:lineRule="auto"/>
              <w:rPr/>
            </w:pPr>
            <w:r w:rsidDel="00000000" w:rsidR="00000000" w:rsidRPr="00000000">
              <w:rPr>
                <w:b w:val="1"/>
                <w:bCs w:val="1"/>
                <w:color w:val="000000"/>
                <w:sz w:val="18"/>
                <w:szCs w:val="18"/>
                <w:rtl w:val="0"/>
              </w:rPr>
              <w:t xml:space="preserve">Prohibited uses defined</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8">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9">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A">
            <w:pPr>
              <w:spacing w:after="60" w:line="240" w:lineRule="auto"/>
              <w:rPr/>
            </w:pPr>
            <w:r w:rsidDel="00000000" w:rsidR="00000000" w:rsidRPr="00000000">
              <w:rPr>
                <w:b w:val="0"/>
                <w:bCs w:val="0"/>
                <w:color w:val="000000"/>
                <w:sz w:val="18"/>
                <w:szCs w:val="18"/>
                <w:rtl w:val="0"/>
              </w:rPr>
              <w:t xml:space="preserve">Explicitly enumerated including staffing, website, memberships</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7B">
            <w:pPr>
              <w:spacing w:after="60" w:line="240" w:lineRule="auto"/>
              <w:rPr/>
            </w:pPr>
            <w:r w:rsidDel="00000000" w:rsidR="00000000" w:rsidRPr="00000000">
              <w:rPr>
                <w:b w:val="1"/>
                <w:bCs w:val="1"/>
                <w:color w:val="000000"/>
                <w:sz w:val="18"/>
                <w:szCs w:val="18"/>
                <w:rtl w:val="0"/>
              </w:rPr>
              <w:t xml:space="preserve">Print marketing cap/ROI</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C">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D">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7E">
            <w:pPr>
              <w:spacing w:after="60" w:line="240" w:lineRule="auto"/>
              <w:rPr/>
            </w:pPr>
            <w:r w:rsidDel="00000000" w:rsidR="00000000" w:rsidRPr="00000000">
              <w:rPr>
                <w:b w:val="0"/>
                <w:bCs w:val="0"/>
                <w:color w:val="000000"/>
                <w:sz w:val="18"/>
                <w:szCs w:val="18"/>
                <w:rtl w:val="0"/>
              </w:rPr>
              <w:t xml:space="preserve">Capped; verified ROI required; County may decline without affecting grant</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7F">
            <w:pPr>
              <w:spacing w:after="60" w:line="240" w:lineRule="auto"/>
              <w:rPr/>
            </w:pPr>
            <w:r w:rsidDel="00000000" w:rsidR="00000000" w:rsidRPr="00000000">
              <w:rPr>
                <w:b w:val="1"/>
                <w:bCs w:val="1"/>
                <w:color w:val="000000"/>
                <w:sz w:val="18"/>
                <w:szCs w:val="18"/>
                <w:rtl w:val="0"/>
              </w:rPr>
              <w:t xml:space="preserve">Partner expenditure cap</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0">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1">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2">
            <w:pPr>
              <w:spacing w:after="60" w:line="240" w:lineRule="auto"/>
              <w:rPr/>
            </w:pPr>
            <w:r w:rsidDel="00000000" w:rsidR="00000000" w:rsidRPr="00000000">
              <w:rPr>
                <w:b w:val="0"/>
                <w:bCs w:val="0"/>
                <w:color w:val="000000"/>
                <w:sz w:val="18"/>
                <w:szCs w:val="18"/>
                <w:rtl w:val="0"/>
              </w:rPr>
              <w:t xml:space="preserve">County reserves right to cap any partner at any time</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83">
            <w:pPr>
              <w:spacing w:after="60" w:line="240" w:lineRule="auto"/>
              <w:rPr/>
            </w:pPr>
            <w:r w:rsidDel="00000000" w:rsidR="00000000" w:rsidRPr="00000000">
              <w:rPr>
                <w:b w:val="1"/>
                <w:bCs w:val="1"/>
                <w:color w:val="000000"/>
                <w:sz w:val="18"/>
                <w:szCs w:val="18"/>
                <w:rtl w:val="0"/>
              </w:rPr>
              <w:t xml:space="preserve">Compliance review</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4">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5">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6">
            <w:pPr>
              <w:spacing w:after="60" w:line="240" w:lineRule="auto"/>
              <w:rPr/>
            </w:pPr>
            <w:r w:rsidDel="00000000" w:rsidR="00000000" w:rsidRPr="00000000">
              <w:rPr>
                <w:b w:val="0"/>
                <w:bCs w:val="0"/>
                <w:color w:val="000000"/>
                <w:sz w:val="18"/>
                <w:szCs w:val="18"/>
                <w:rtl w:val="0"/>
              </w:rPr>
              <w:t xml:space="preserve">Pass/fail, documented, 30-day written outcome</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87">
            <w:pPr>
              <w:spacing w:after="60" w:line="240" w:lineRule="auto"/>
              <w:rPr/>
            </w:pPr>
            <w:r w:rsidDel="00000000" w:rsidR="00000000" w:rsidRPr="00000000">
              <w:rPr>
                <w:b w:val="1"/>
                <w:bCs w:val="1"/>
                <w:color w:val="000000"/>
                <w:sz w:val="18"/>
                <w:szCs w:val="18"/>
                <w:rtl w:val="0"/>
              </w:rPr>
              <w:t xml:space="preserve">Recovery of misspent funds</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8">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9">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A">
            <w:pPr>
              <w:spacing w:after="60" w:line="240" w:lineRule="auto"/>
              <w:rPr/>
            </w:pPr>
            <w:r w:rsidDel="00000000" w:rsidR="00000000" w:rsidRPr="00000000">
              <w:rPr>
                <w:b w:val="0"/>
                <w:bCs w:val="0"/>
                <w:color w:val="000000"/>
                <w:sz w:val="18"/>
                <w:szCs w:val="18"/>
                <w:rtl w:val="0"/>
              </w:rPr>
              <w:t xml:space="preserve">60 days; material breach on failure</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8B">
            <w:pPr>
              <w:spacing w:after="60" w:line="240" w:lineRule="auto"/>
              <w:rPr/>
            </w:pPr>
            <w:r w:rsidDel="00000000" w:rsidR="00000000" w:rsidRPr="00000000">
              <w:rPr>
                <w:b w:val="1"/>
                <w:bCs w:val="1"/>
                <w:color w:val="000000"/>
                <w:sz w:val="18"/>
                <w:szCs w:val="18"/>
                <w:rtl w:val="0"/>
              </w:rPr>
              <w:t xml:space="preserve">Asset ownership defined</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C">
            <w:pPr>
              <w:spacing w:after="60" w:line="240" w:lineRule="auto"/>
              <w:rPr/>
            </w:pPr>
            <w:r w:rsidDel="00000000" w:rsidR="00000000" w:rsidRPr="00000000">
              <w:rPr>
                <w:b w:val="0"/>
                <w:bCs w:val="0"/>
                <w:color w:val="000000"/>
                <w:sz w:val="18"/>
                <w:szCs w:val="18"/>
                <w:rtl w:val="0"/>
              </w:rPr>
              <w:t xml:space="preserve">None — assets transferred to DFR on dissolution</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D">
            <w:pPr>
              <w:spacing w:after="60" w:line="240" w:lineRule="auto"/>
              <w:rPr/>
            </w:pPr>
            <w:r w:rsidDel="00000000" w:rsidR="00000000" w:rsidRPr="00000000">
              <w:rPr>
                <w:b w:val="0"/>
                <w:bCs w:val="0"/>
                <w:color w:val="000000"/>
                <w:sz w:val="18"/>
                <w:szCs w:val="18"/>
                <w:rtl w:val="0"/>
              </w:rPr>
              <w:t xml:space="preserve">None — Town retains all</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8E">
            <w:pPr>
              <w:spacing w:after="60" w:line="240" w:lineRule="auto"/>
              <w:rPr/>
            </w:pPr>
            <w:r w:rsidDel="00000000" w:rsidR="00000000" w:rsidRPr="00000000">
              <w:rPr>
                <w:b w:val="0"/>
                <w:bCs w:val="0"/>
                <w:color w:val="000000"/>
                <w:sz w:val="18"/>
                <w:szCs w:val="18"/>
                <w:rtl w:val="0"/>
              </w:rPr>
              <w:t xml:space="preserve">Defined in writing before production begins</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8F">
            <w:pPr>
              <w:spacing w:after="60" w:line="240" w:lineRule="auto"/>
              <w:rPr/>
            </w:pPr>
            <w:r w:rsidDel="00000000" w:rsidR="00000000" w:rsidRPr="00000000">
              <w:rPr>
                <w:b w:val="1"/>
                <w:bCs w:val="1"/>
                <w:color w:val="000000"/>
                <w:sz w:val="18"/>
                <w:szCs w:val="18"/>
                <w:rtl w:val="0"/>
              </w:rPr>
              <w:t xml:space="preserve">Asset reversion on termination</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0">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1">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2">
            <w:pPr>
              <w:spacing w:after="60" w:line="240" w:lineRule="auto"/>
              <w:rPr/>
            </w:pPr>
            <w:r w:rsidDel="00000000" w:rsidR="00000000" w:rsidRPr="00000000">
              <w:rPr>
                <w:b w:val="0"/>
                <w:bCs w:val="0"/>
                <w:color w:val="000000"/>
                <w:sz w:val="18"/>
                <w:szCs w:val="18"/>
                <w:rtl w:val="0"/>
              </w:rPr>
              <w:t xml:space="preserve">Explicit — defaults to County ownership</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93">
            <w:pPr>
              <w:spacing w:after="60" w:line="240" w:lineRule="auto"/>
              <w:rPr/>
            </w:pPr>
            <w:r w:rsidDel="00000000" w:rsidR="00000000" w:rsidRPr="00000000">
              <w:rPr>
                <w:b w:val="1"/>
                <w:bCs w:val="1"/>
                <w:color w:val="000000"/>
                <w:sz w:val="18"/>
                <w:szCs w:val="18"/>
                <w:rtl w:val="0"/>
              </w:rPr>
              <w:t xml:space="preserve">Analytics access post-termination</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4">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5">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6">
            <w:pPr>
              <w:spacing w:after="60" w:line="240" w:lineRule="auto"/>
              <w:rPr/>
            </w:pPr>
            <w:r w:rsidDel="00000000" w:rsidR="00000000" w:rsidRPr="00000000">
              <w:rPr>
                <w:b w:val="0"/>
                <w:bCs w:val="0"/>
                <w:color w:val="000000"/>
                <w:sz w:val="18"/>
                <w:szCs w:val="18"/>
                <w:rtl w:val="0"/>
              </w:rPr>
              <w:t xml:space="preserve">County retains access</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97">
            <w:pPr>
              <w:spacing w:after="60" w:line="240" w:lineRule="auto"/>
              <w:rPr/>
            </w:pPr>
            <w:r w:rsidDel="00000000" w:rsidR="00000000" w:rsidRPr="00000000">
              <w:rPr>
                <w:b w:val="1"/>
                <w:bCs w:val="1"/>
                <w:color w:val="000000"/>
                <w:sz w:val="18"/>
                <w:szCs w:val="18"/>
                <w:rtl w:val="0"/>
              </w:rPr>
              <w:t xml:space="preserve">Digital asset freeze during notice period</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8">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9">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A">
            <w:pPr>
              <w:spacing w:after="60" w:line="240" w:lineRule="auto"/>
              <w:rPr/>
            </w:pPr>
            <w:r w:rsidDel="00000000" w:rsidR="00000000" w:rsidRPr="00000000">
              <w:rPr>
                <w:b w:val="0"/>
                <w:bCs w:val="0"/>
                <w:color w:val="000000"/>
                <w:sz w:val="18"/>
                <w:szCs w:val="18"/>
                <w:rtl w:val="0"/>
              </w:rPr>
              <w:t xml:space="preserve">90-day freeze on removal/transfer</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9B">
            <w:pPr>
              <w:spacing w:after="60" w:line="240" w:lineRule="auto"/>
              <w:rPr/>
            </w:pPr>
            <w:r w:rsidDel="00000000" w:rsidR="00000000" w:rsidRPr="00000000">
              <w:rPr>
                <w:b w:val="1"/>
                <w:bCs w:val="1"/>
                <w:color w:val="000000"/>
                <w:sz w:val="18"/>
                <w:szCs w:val="18"/>
                <w:rtl w:val="0"/>
              </w:rPr>
              <w:t xml:space="preserve">Auto-renewal</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C">
            <w:pPr>
              <w:spacing w:after="60" w:line="240" w:lineRule="auto"/>
              <w:rPr/>
            </w:pPr>
            <w:r w:rsidDel="00000000" w:rsidR="00000000" w:rsidRPr="00000000">
              <w:rPr>
                <w:b w:val="0"/>
                <w:bCs w:val="0"/>
                <w:color w:val="000000"/>
                <w:sz w:val="18"/>
                <w:szCs w:val="18"/>
                <w:rtl w:val="0"/>
              </w:rPr>
              <w:t xml:space="preserve">Yes — unless terminated by March 1</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D">
            <w:pPr>
              <w:spacing w:after="60" w:line="240" w:lineRule="auto"/>
              <w:rPr/>
            </w:pPr>
            <w:r w:rsidDel="00000000" w:rsidR="00000000" w:rsidRPr="00000000">
              <w:rPr>
                <w:b w:val="0"/>
                <w:bCs w:val="0"/>
                <w:color w:val="000000"/>
                <w:sz w:val="18"/>
                <w:szCs w:val="18"/>
                <w:rtl w:val="0"/>
              </w:rPr>
              <w:t xml:space="preserve">Yes — unless terminated by March 1</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9E">
            <w:pPr>
              <w:spacing w:after="60" w:line="240" w:lineRule="auto"/>
              <w:rPr/>
            </w:pPr>
            <w:r w:rsidDel="00000000" w:rsidR="00000000" w:rsidRPr="00000000">
              <w:rPr>
                <w:b w:val="0"/>
                <w:bCs w:val="0"/>
                <w:color w:val="000000"/>
                <w:sz w:val="18"/>
                <w:szCs w:val="18"/>
                <w:rtl w:val="0"/>
              </w:rPr>
              <w:t xml:space="preserve">No — requires affirmative action</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9F">
            <w:pPr>
              <w:spacing w:after="60" w:line="240" w:lineRule="auto"/>
              <w:rPr/>
            </w:pPr>
            <w:r w:rsidDel="00000000" w:rsidR="00000000" w:rsidRPr="00000000">
              <w:rPr>
                <w:b w:val="1"/>
                <w:bCs w:val="1"/>
                <w:color w:val="000000"/>
                <w:sz w:val="18"/>
                <w:szCs w:val="18"/>
                <w:rtl w:val="0"/>
              </w:rPr>
              <w:t xml:space="preserve">County independent authority</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0">
            <w:pPr>
              <w:spacing w:after="60" w:line="240" w:lineRule="auto"/>
              <w:rPr/>
            </w:pPr>
            <w:r w:rsidDel="00000000" w:rsidR="00000000" w:rsidRPr="00000000">
              <w:rPr>
                <w:b w:val="0"/>
                <w:bCs w:val="0"/>
                <w:color w:val="000000"/>
                <w:sz w:val="18"/>
                <w:szCs w:val="18"/>
                <w:rtl w:val="0"/>
              </w:rPr>
              <w:t xml:space="preserve">Constrained by 'sole authority' language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1">
            <w:pPr>
              <w:spacing w:after="60" w:line="240" w:lineRule="auto"/>
              <w:rPr/>
            </w:pPr>
            <w:r w:rsidDel="00000000" w:rsidR="00000000" w:rsidRPr="00000000">
              <w:rPr>
                <w:b w:val="0"/>
                <w:bCs w:val="0"/>
                <w:color w:val="000000"/>
                <w:sz w:val="18"/>
                <w:szCs w:val="18"/>
                <w:rtl w:val="0"/>
              </w:rPr>
              <w:t xml:space="preserve">Not recognized</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2">
            <w:pPr>
              <w:spacing w:after="60" w:line="240" w:lineRule="auto"/>
              <w:rPr/>
            </w:pPr>
            <w:r w:rsidDel="00000000" w:rsidR="00000000" w:rsidRPr="00000000">
              <w:rPr>
                <w:b w:val="0"/>
                <w:bCs w:val="0"/>
                <w:color w:val="000000"/>
                <w:sz w:val="18"/>
                <w:szCs w:val="18"/>
                <w:rtl w:val="0"/>
              </w:rPr>
              <w:t xml:space="preserve">Explicitly reserved — DMO registration, kiosks, print, all campaigns</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A3">
            <w:pPr>
              <w:spacing w:after="60" w:line="240" w:lineRule="auto"/>
              <w:rPr/>
            </w:pPr>
            <w:r w:rsidDel="00000000" w:rsidR="00000000" w:rsidRPr="00000000">
              <w:rPr>
                <w:b w:val="1"/>
                <w:bCs w:val="1"/>
                <w:color w:val="000000"/>
                <w:sz w:val="18"/>
                <w:szCs w:val="18"/>
                <w:rtl w:val="0"/>
              </w:rPr>
              <w:t xml:space="preserve">First right of refusal</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4">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5">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6">
            <w:pPr>
              <w:spacing w:after="60" w:line="240" w:lineRule="auto"/>
              <w:rPr/>
            </w:pPr>
            <w:r w:rsidDel="00000000" w:rsidR="00000000" w:rsidRPr="00000000">
              <w:rPr>
                <w:b w:val="0"/>
                <w:bCs w:val="0"/>
                <w:color w:val="000000"/>
                <w:sz w:val="18"/>
                <w:szCs w:val="18"/>
                <w:rtl w:val="0"/>
              </w:rPr>
              <w:t xml:space="preserve">County holds — all joint initiatives</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A7">
            <w:pPr>
              <w:spacing w:after="60" w:line="240" w:lineRule="auto"/>
              <w:rPr/>
            </w:pPr>
            <w:r w:rsidDel="00000000" w:rsidR="00000000" w:rsidRPr="00000000">
              <w:rPr>
                <w:b w:val="1"/>
                <w:bCs w:val="1"/>
                <w:color w:val="000000"/>
                <w:sz w:val="18"/>
                <w:szCs w:val="18"/>
                <w:rtl w:val="0"/>
              </w:rPr>
              <w:t xml:space="preserve">Quarterly collaboration requirement</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8">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9">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A">
            <w:pPr>
              <w:spacing w:after="60" w:line="240" w:lineRule="auto"/>
              <w:rPr/>
            </w:pPr>
            <w:r w:rsidDel="00000000" w:rsidR="00000000" w:rsidRPr="00000000">
              <w:rPr>
                <w:b w:val="0"/>
                <w:bCs w:val="0"/>
                <w:color w:val="000000"/>
                <w:sz w:val="18"/>
                <w:szCs w:val="18"/>
                <w:rtl w:val="0"/>
              </w:rPr>
              <w:t xml:space="preserve">Required; documented; affects tier eligibility</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AB">
            <w:pPr>
              <w:spacing w:after="60" w:line="240" w:lineRule="auto"/>
              <w:rPr/>
            </w:pPr>
            <w:r w:rsidDel="00000000" w:rsidR="00000000" w:rsidRPr="00000000">
              <w:rPr>
                <w:b w:val="1"/>
                <w:bCs w:val="1"/>
                <w:color w:val="000000"/>
                <w:sz w:val="18"/>
                <w:szCs w:val="18"/>
                <w:rtl w:val="0"/>
              </w:rPr>
              <w:t xml:space="preserve">Transparency — all recipients</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C">
            <w:pPr>
              <w:spacing w:after="60" w:line="240" w:lineRule="auto"/>
              <w:rPr/>
            </w:pPr>
            <w:r w:rsidDel="00000000" w:rsidR="00000000" w:rsidRPr="00000000">
              <w:rPr>
                <w:b w:val="0"/>
                <w:bCs w:val="0"/>
                <w:color w:val="000000"/>
                <w:sz w:val="18"/>
                <w:szCs w:val="18"/>
                <w:rtl w:val="0"/>
              </w:rPr>
              <w:t xml:space="preserve">None</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D">
            <w:pPr>
              <w:spacing w:after="60" w:line="240" w:lineRule="auto"/>
              <w:rPr/>
            </w:pPr>
            <w:r w:rsidDel="00000000" w:rsidR="00000000" w:rsidRPr="00000000">
              <w:rPr>
                <w:b w:val="0"/>
                <w:bCs w:val="0"/>
                <w:color w:val="000000"/>
                <w:sz w:val="18"/>
                <w:szCs w:val="18"/>
                <w:rtl w:val="0"/>
              </w:rPr>
              <w:t xml:space="preserve">Town only</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AE">
            <w:pPr>
              <w:spacing w:after="60" w:line="240" w:lineRule="auto"/>
              <w:rPr/>
            </w:pPr>
            <w:r w:rsidDel="00000000" w:rsidR="00000000" w:rsidRPr="00000000">
              <w:rPr>
                <w:b w:val="0"/>
                <w:bCs w:val="0"/>
                <w:color w:val="000000"/>
                <w:sz w:val="18"/>
                <w:szCs w:val="18"/>
                <w:rtl w:val="0"/>
              </w:rPr>
              <w:t xml:space="preserve">All organizations at any tier</w:t>
            </w:r>
            <w:r w:rsidDel="00000000" w:rsidR="00000000" w:rsidRPr="00000000">
              <w:rPr>
                <w:rtl w:val="0"/>
              </w:rPr>
            </w:r>
          </w:p>
        </w:tc>
      </w:tr>
      <w:tr>
        <w:trPr>
          <w:cantSplit w:val="0"/>
          <w:tblHeader w:val="0"/>
        </w:trPr>
        <w:tc>
          <w:tcPr>
            <w:tcMar>
              <w:top w:w="80.0" w:type="dxa"/>
              <w:left w:w="120.0" w:type="dxa"/>
              <w:bottom w:w="80.0" w:type="dxa"/>
              <w:right w:w="120.0" w:type="dxa"/>
            </w:tcMar>
          </w:tcPr>
          <w:p w:rsidR="00000000" w:rsidDel="00000000" w:rsidP="00000000" w:rsidRDefault="00000000" w:rsidRPr="00000000" w14:paraId="000000AF">
            <w:pPr>
              <w:spacing w:after="60" w:line="240" w:lineRule="auto"/>
              <w:rPr/>
            </w:pPr>
            <w:r w:rsidDel="00000000" w:rsidR="00000000" w:rsidRPr="00000000">
              <w:rPr>
                <w:b w:val="1"/>
                <w:bCs w:val="1"/>
                <w:color w:val="000000"/>
                <w:sz w:val="18"/>
                <w:szCs w:val="18"/>
                <w:rtl w:val="0"/>
              </w:rPr>
              <w:t xml:space="preserve">Open to other qualifying organizations</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B0">
            <w:pPr>
              <w:spacing w:after="60" w:line="240" w:lineRule="auto"/>
              <w:rPr/>
            </w:pPr>
            <w:r w:rsidDel="00000000" w:rsidR="00000000" w:rsidRPr="00000000">
              <w:rPr>
                <w:b w:val="0"/>
                <w:bCs w:val="0"/>
                <w:color w:val="000000"/>
                <w:sz w:val="18"/>
                <w:szCs w:val="18"/>
                <w:rtl w:val="0"/>
              </w:rPr>
              <w:t xml:space="preserve">No</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B1">
            <w:pPr>
              <w:spacing w:after="60" w:line="240" w:lineRule="auto"/>
              <w:rPr/>
            </w:pPr>
            <w:r w:rsidDel="00000000" w:rsidR="00000000" w:rsidRPr="00000000">
              <w:rPr>
                <w:b w:val="0"/>
                <w:bCs w:val="0"/>
                <w:color w:val="000000"/>
                <w:sz w:val="18"/>
                <w:szCs w:val="18"/>
                <w:rtl w:val="0"/>
              </w:rPr>
              <w:t xml:space="preserve">No</w:t>
            </w:r>
            <w:r w:rsidDel="00000000" w:rsidR="00000000" w:rsidRPr="00000000">
              <w:rPr>
                <w:rtl w:val="0"/>
              </w:rPr>
            </w:r>
          </w:p>
        </w:tc>
        <w:tc>
          <w:tcPr>
            <w:tcMar>
              <w:top w:w="80.0" w:type="dxa"/>
              <w:left w:w="120.0" w:type="dxa"/>
              <w:bottom w:w="80.0" w:type="dxa"/>
              <w:right w:w="120.0" w:type="dxa"/>
            </w:tcMar>
          </w:tcPr>
          <w:p w:rsidR="00000000" w:rsidDel="00000000" w:rsidP="00000000" w:rsidRDefault="00000000" w:rsidRPr="00000000" w14:paraId="000000B2">
            <w:pPr>
              <w:spacing w:after="60" w:line="240" w:lineRule="auto"/>
              <w:rPr/>
            </w:pPr>
            <w:r w:rsidDel="00000000" w:rsidR="00000000" w:rsidRPr="00000000">
              <w:rPr>
                <w:b w:val="0"/>
                <w:bCs w:val="0"/>
                <w:color w:val="000000"/>
                <w:sz w:val="18"/>
                <w:szCs w:val="18"/>
                <w:rtl w:val="0"/>
              </w:rPr>
              <w:t xml:space="preserve">Yes — tiered framework open to any qualified applicant</w:t>
            </w:r>
            <w:r w:rsidDel="00000000" w:rsidR="00000000" w:rsidRPr="00000000">
              <w:rPr>
                <w:rtl w:val="0"/>
              </w:rPr>
            </w:r>
          </w:p>
        </w:tc>
      </w:tr>
    </w:tbl>
    <w:p w:rsidR="00000000" w:rsidDel="00000000" w:rsidP="00000000" w:rsidRDefault="00000000" w:rsidRPr="00000000" w14:paraId="000000B3">
      <w:pPr>
        <w:spacing w:after="80" w:lineRule="auto"/>
        <w:rPr/>
      </w:pPr>
      <w:r w:rsidDel="00000000" w:rsidR="00000000" w:rsidRPr="00000000">
        <w:rPr>
          <w:rtl w:val="0"/>
        </w:rPr>
      </w:r>
    </w:p>
    <w:p w:rsidR="00000000" w:rsidDel="00000000" w:rsidP="00000000" w:rsidRDefault="00000000" w:rsidRPr="00000000" w14:paraId="000000B4">
      <w:pPr>
        <w:pStyle w:val="Heading1"/>
        <w:rPr/>
      </w:pPr>
      <w:r w:rsidDel="00000000" w:rsidR="00000000" w:rsidRPr="00000000">
        <w:rPr>
          <w:rtl w:val="0"/>
        </w:rPr>
      </w:r>
    </w:p>
    <w:p w:rsidR="00000000" w:rsidDel="00000000" w:rsidP="00000000" w:rsidRDefault="00000000" w:rsidRPr="00000000" w14:paraId="000000B5">
      <w:pPr>
        <w:pStyle w:val="Heading3"/>
        <w:spacing w:after="80" w:before="280" w:line="276" w:lineRule="auto"/>
        <w:rPr>
          <w:b w:val="1"/>
          <w:bCs w:val="1"/>
          <w:color w:val="000000"/>
          <w:sz w:val="26"/>
          <w:szCs w:val="26"/>
        </w:rPr>
      </w:pPr>
      <w:bookmarkStart w:colFirst="0" w:colLast="0" w:name="_heading=h.s6n87zw9euhv" w:id="1"/>
      <w:bookmarkEnd w:id="1"/>
      <w:r w:rsidDel="00000000" w:rsidR="00000000" w:rsidRPr="00000000">
        <w:rPr>
          <w:b w:val="1"/>
          <w:bCs w:val="1"/>
          <w:color w:val="000000"/>
          <w:sz w:val="26"/>
          <w:szCs w:val="26"/>
          <w:rtl w:val="0"/>
        </w:rPr>
        <w:t xml:space="preserve">Why the County's Approach Is Different</w:t>
      </w:r>
    </w:p>
    <w:p w:rsidR="00000000" w:rsidDel="00000000" w:rsidP="00000000" w:rsidRDefault="00000000" w:rsidRPr="00000000" w14:paraId="000000B6">
      <w:pPr>
        <w:spacing w:after="240" w:before="240" w:line="276" w:lineRule="auto"/>
        <w:rPr/>
      </w:pPr>
      <w:r w:rsidDel="00000000" w:rsidR="00000000" w:rsidRPr="00000000">
        <w:rPr>
          <w:rtl w:val="0"/>
        </w:rPr>
        <w:t xml:space="preserve">The County's proposed MOA is not a punitive document. It is an accountability framework designed to address specific structural gaps identified in prior agreements. Every major provision corresponds to a documented governance, accountability, or operational issue demonstrated through the historical record.</w:t>
      </w:r>
    </w:p>
    <w:p w:rsidR="00000000" w:rsidDel="00000000" w:rsidP="00000000" w:rsidRDefault="00000000" w:rsidRPr="00000000" w14:paraId="000000B7">
      <w:pPr>
        <w:spacing w:after="240" w:before="240" w:line="276" w:lineRule="auto"/>
        <w:rPr/>
      </w:pPr>
      <w:r w:rsidDel="00000000" w:rsidR="00000000" w:rsidRPr="00000000">
        <w:rPr>
          <w:rtl w:val="0"/>
        </w:rPr>
        <w:t xml:space="preserve">The 2022 Agreement provided the County with non-voting representation despite equal financial participation and left the County's investment unprotected when the Town terminated the agreement. The Town's 2026 proposal similarly limits the County to an advisory role while requesting a substantially larger financial commitment. By contrast, the County's proposed 2026 MOA applies the same accountability, reporting, and performance standards that public agencies routinely require when investing public funds.</w:t>
      </w:r>
    </w:p>
    <w:p w:rsidR="00000000" w:rsidDel="00000000" w:rsidP="00000000" w:rsidRDefault="00000000" w:rsidRPr="00000000" w14:paraId="000000B8">
      <w:pPr>
        <w:spacing w:after="240" w:before="240" w:line="276" w:lineRule="auto"/>
        <w:rPr/>
      </w:pPr>
      <w:r w:rsidDel="00000000" w:rsidR="00000000" w:rsidRPr="00000000">
        <w:rPr>
          <w:rtl w:val="0"/>
        </w:rPr>
        <w:t xml:space="preserve">That is not a hardline position. It is a governance baseline.</w:t>
      </w:r>
    </w:p>
    <w:p w:rsidR="00000000" w:rsidDel="00000000" w:rsidP="00000000" w:rsidRDefault="00000000" w:rsidRPr="00000000" w14:paraId="000000B9">
      <w:pPr>
        <w:spacing w:after="240" w:before="240" w:line="276" w:lineRule="auto"/>
        <w:rPr/>
      </w:pPr>
      <w:r w:rsidDel="00000000" w:rsidR="00000000" w:rsidRPr="00000000">
        <w:rPr>
          <w:rtl w:val="0"/>
        </w:rPr>
        <w:t xml:space="preserve">The proposed </w:t>
      </w:r>
      <w:r w:rsidDel="00000000" w:rsidR="00000000" w:rsidRPr="00000000">
        <w:rPr>
          <w:b w:val="1"/>
          <w:bCs w:val="1"/>
          <w:rtl w:val="0"/>
        </w:rPr>
        <w:t xml:space="preserve">2027 Tiered Collaborative Matching Grant Framework</w:t>
      </w:r>
      <w:r w:rsidDel="00000000" w:rsidR="00000000" w:rsidRPr="00000000">
        <w:rPr>
          <w:rtl w:val="0"/>
        </w:rPr>
        <w:t xml:space="preserve"> creates a transparent pathway for increased County investment based upon demonstrated performance rather than historical funding patterns. Organizations that establish verified baseline analytics, satisfy compliance requirements, and demonstrate measurable public benefit become eligible for proportionally greater County investment. The framework is intentionally scaled to support organizations of varying size and capability, from emerging tourism partners to established destination organizations.</w:t>
      </w:r>
    </w:p>
    <w:p w:rsidR="00000000" w:rsidDel="00000000" w:rsidP="00000000" w:rsidRDefault="00000000" w:rsidRPr="00000000" w14:paraId="000000BA">
      <w:pPr>
        <w:spacing w:after="240" w:before="240" w:line="276" w:lineRule="auto"/>
        <w:rPr/>
      </w:pPr>
      <w:r w:rsidDel="00000000" w:rsidR="00000000" w:rsidRPr="00000000">
        <w:rPr>
          <w:rtl w:val="0"/>
        </w:rPr>
        <w:t xml:space="preserve">Unlike either previous agreement, the County's proposal also establishes an </w:t>
      </w:r>
      <w:r w:rsidDel="00000000" w:rsidR="00000000" w:rsidRPr="00000000">
        <w:rPr>
          <w:b w:val="1"/>
          <w:bCs w:val="1"/>
          <w:rtl w:val="0"/>
        </w:rPr>
        <w:t xml:space="preserve">open, performance-based collaborative funding framework</w:t>
      </w:r>
      <w:r w:rsidDel="00000000" w:rsidR="00000000" w:rsidRPr="00000000">
        <w:rPr>
          <w:rtl w:val="0"/>
        </w:rPr>
        <w:t xml:space="preserve"> available to qualified tourism organizations throughout Warren County. The Town is not excluded from this framework; rather, it participates as a Tier 1 partner while other qualified organizations may participate at the level supported by their documented organizational capacity. This expands opportunities for innovation, partnership development, and collaborative destination marketing beyond a single organization.</w:t>
      </w:r>
    </w:p>
    <w:p w:rsidR="00000000" w:rsidDel="00000000" w:rsidP="00000000" w:rsidRDefault="00000000" w:rsidRPr="00000000" w14:paraId="000000BB">
      <w:pPr>
        <w:spacing w:after="240" w:before="240" w:line="276" w:lineRule="auto"/>
        <w:rPr/>
      </w:pPr>
      <w:r w:rsidDel="00000000" w:rsidR="00000000" w:rsidRPr="00000000">
        <w:rPr>
          <w:rtl w:val="0"/>
        </w:rPr>
        <w:t xml:space="preserve">Equally important, the County's governance model does </w:t>
      </w:r>
      <w:r w:rsidDel="00000000" w:rsidR="00000000" w:rsidRPr="00000000">
        <w:rPr>
          <w:b w:val="1"/>
          <w:bCs w:val="1"/>
          <w:rtl w:val="0"/>
        </w:rPr>
        <w:t xml:space="preserve">not</w:t>
      </w:r>
      <w:r w:rsidDel="00000000" w:rsidR="00000000" w:rsidRPr="00000000">
        <w:rPr>
          <w:rtl w:val="0"/>
        </w:rPr>
        <w:t xml:space="preserve"> remove the Town from tourism leadership. Under both the proposed MOA and the Strategic Blueprint, the Town continues to participate as a standing partner agency within the Warren County Tourism Committee. The Town's </w:t>
      </w:r>
      <w:r w:rsidDel="00000000" w:rsidR="00000000" w:rsidRPr="00000000">
        <w:rPr>
          <w:b w:val="1"/>
          <w:bCs w:val="1"/>
          <w:rtl w:val="0"/>
        </w:rPr>
        <w:t xml:space="preserve">Community Development and Tourism Manager</w:t>
      </w:r>
      <w:r w:rsidDel="00000000" w:rsidR="00000000" w:rsidRPr="00000000">
        <w:rPr>
          <w:rtl w:val="0"/>
        </w:rPr>
        <w:t xml:space="preserve">, designated </w:t>
      </w:r>
      <w:r w:rsidDel="00000000" w:rsidR="00000000" w:rsidRPr="00000000">
        <w:rPr>
          <w:b w:val="1"/>
          <w:bCs w:val="1"/>
          <w:rtl w:val="0"/>
        </w:rPr>
        <w:t xml:space="preserve">Town Council representative</w:t>
      </w:r>
      <w:r w:rsidDel="00000000" w:rsidR="00000000" w:rsidRPr="00000000">
        <w:rPr>
          <w:rtl w:val="0"/>
        </w:rPr>
        <w:t xml:space="preserve">, and other appointed representatives participate alongside County and community partners with the same committee voting privileges, opportunities to introduce initiatives, and ability to help shape collaborative projects and strategic priorities. The Town Manager also remains informed through ongoing committee communications regarding meetings, initiatives, and collaborative activities. The County's proposal expands accountability while preserving meaningful municipal participation.</w:t>
      </w:r>
    </w:p>
    <w:p w:rsidR="00000000" w:rsidDel="00000000" w:rsidP="00000000" w:rsidRDefault="00000000" w:rsidRPr="00000000" w14:paraId="000000BC">
      <w:pPr>
        <w:spacing w:after="240" w:before="240" w:line="276" w:lineRule="auto"/>
        <w:rPr/>
      </w:pPr>
      <w:r w:rsidDel="00000000" w:rsidR="00000000" w:rsidRPr="00000000">
        <w:rPr>
          <w:rtl w:val="0"/>
        </w:rPr>
        <w:t xml:space="preserve">The County presents this framework as an opening position, not a final instrument. Core provisions—including asset protections, performance standards, baseline analytics, governance, and dissolution procedures—reflect the County's minimum requirements based on the documented historical record. All other provisions remain open to good-faith negotiation.</w:t>
      </w:r>
    </w:p>
    <w:p w:rsidR="00000000" w:rsidDel="00000000" w:rsidP="00000000" w:rsidRDefault="00000000" w:rsidRPr="00000000" w14:paraId="000000BD">
      <w:pPr>
        <w:spacing w:after="240" w:before="240" w:line="276" w:lineRule="auto"/>
        <w:rPr/>
      </w:pPr>
      <w:r w:rsidDel="00000000" w:rsidR="00000000" w:rsidRPr="00000000">
        <w:rPr>
          <w:rtl w:val="0"/>
        </w:rPr>
        <w:t xml:space="preserve">The decisions made over the coming weeks will determine whether Warren County's tourism investment is governed by accountability or by precedent. These three agreements document what precedent has produced.</w:t>
      </w:r>
    </w:p>
    <w:p w:rsidR="00000000" w:rsidDel="00000000" w:rsidP="00000000" w:rsidRDefault="00000000" w:rsidRPr="00000000" w14:paraId="000000BE">
      <w:pPr>
        <w:spacing w:after="180" w:line="276" w:lineRule="auto"/>
        <w:rPr/>
      </w:pPr>
      <w:r w:rsidDel="00000000" w:rsidR="00000000" w:rsidRPr="00000000">
        <w:rPr>
          <w:rtl w:val="0"/>
        </w:rPr>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jc w:val="right"/>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60" w:line="240" w:lineRule="auto"/>
      <w:ind w:left="0" w:right="0" w:firstLine="0"/>
      <w:jc w:val="left"/>
    </w:pPr>
    <w:rPr>
      <w:rFonts w:ascii="Arial" w:cs="Arial" w:eastAsia="Arial" w:hAnsi="Arial"/>
      <w:b w:val="1"/>
      <w:bCs w:val="1"/>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5mxmvfV/4Zhm4x8lxHjuSp/WEw==">CgMxLjAyDmguNHV4eXo2YWd4dGwyMg5oLnM2bjg3enc5ZXVodjgAciExUGYxR0xUSlU1MWtRd3MyM0x1Q09kdmFPbTUzXzNkZ2c=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